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DBE70" w14:textId="77777777" w:rsidR="00C51FE7" w:rsidRPr="00406877" w:rsidRDefault="005E7161" w:rsidP="00406877">
      <w:pPr>
        <w:spacing w:after="0" w:line="240" w:lineRule="auto"/>
        <w:jc w:val="center"/>
        <w:rPr>
          <w:b/>
          <w:bCs/>
          <w:sz w:val="32"/>
          <w:szCs w:val="32"/>
        </w:rPr>
      </w:pPr>
      <w:bookmarkStart w:id="0" w:name="_GoBack"/>
      <w:bookmarkEnd w:id="0"/>
      <w:r w:rsidRPr="00406877">
        <w:rPr>
          <w:b/>
          <w:bCs/>
          <w:sz w:val="32"/>
          <w:szCs w:val="32"/>
        </w:rPr>
        <w:t>Sinte</w:t>
      </w:r>
      <w:r w:rsidR="00BC2087" w:rsidRPr="00406877">
        <w:rPr>
          <w:b/>
          <w:bCs/>
          <w:sz w:val="32"/>
          <w:szCs w:val="32"/>
        </w:rPr>
        <w:t>si</w:t>
      </w:r>
      <w:r w:rsidR="004860EC" w:rsidRPr="00406877">
        <w:rPr>
          <w:b/>
          <w:bCs/>
          <w:sz w:val="32"/>
          <w:szCs w:val="32"/>
        </w:rPr>
        <w:t xml:space="preserve"> </w:t>
      </w:r>
    </w:p>
    <w:p w14:paraId="6588603E" w14:textId="77777777" w:rsidR="00C51FE7" w:rsidRDefault="004860EC" w:rsidP="00406877">
      <w:pPr>
        <w:spacing w:after="0" w:line="240" w:lineRule="auto"/>
        <w:jc w:val="center"/>
      </w:pPr>
      <w:r>
        <w:t>(dalle Linee Guida per la prevenzione e il contrasto alla dispersione scolastica</w:t>
      </w:r>
      <w:r w:rsidR="004A5F98">
        <w:t xml:space="preserve">, </w:t>
      </w:r>
    </w:p>
    <w:p w14:paraId="2FB721FE" w14:textId="67B9FF69" w:rsidR="007915E3" w:rsidRDefault="00C51FE7" w:rsidP="00406877">
      <w:pPr>
        <w:spacing w:after="0" w:line="240" w:lineRule="auto"/>
        <w:jc w:val="center"/>
      </w:pPr>
      <w:r>
        <w:t>a partire dal progetto PRIMO)</w:t>
      </w:r>
    </w:p>
    <w:p w14:paraId="1C1B2083" w14:textId="77777777" w:rsidR="00C51FE7" w:rsidRPr="00BC2087" w:rsidRDefault="00C51FE7"/>
    <w:p w14:paraId="39B983EF" w14:textId="398C6ADA" w:rsidR="00837700" w:rsidRDefault="00A75BD6" w:rsidP="00406877">
      <w:pPr>
        <w:pStyle w:val="Paragrafoelenco"/>
        <w:numPr>
          <w:ilvl w:val="0"/>
          <w:numId w:val="3"/>
        </w:numPr>
        <w:ind w:left="714" w:hanging="357"/>
        <w:jc w:val="both"/>
        <w:textAlignment w:val="baseline"/>
        <w:rPr>
          <w:rFonts w:eastAsia="Times New Roman" w:cstheme="minorHAnsi"/>
          <w:lang w:eastAsia="it-IT"/>
        </w:rPr>
      </w:pPr>
      <w:r w:rsidRPr="00D9241F">
        <w:rPr>
          <w:rFonts w:eastAsia="Times New Roman" w:cstheme="minorHAnsi"/>
          <w:lang w:eastAsia="it-IT"/>
        </w:rPr>
        <w:t>Per dispersione scolastica si intende un fenomeno complesso che può manifestarsi in svariati modi, come mancati ingressi, evasione dell’obbligo scolastico, abbandoni, bocciature, frequenze irregolari; può emergere in aspetti più celati</w:t>
      </w:r>
      <w:r w:rsidR="005168C8" w:rsidRPr="00D9241F">
        <w:rPr>
          <w:rFonts w:eastAsia="Times New Roman" w:cstheme="minorHAnsi"/>
          <w:lang w:eastAsia="it-IT"/>
        </w:rPr>
        <w:t>,</w:t>
      </w:r>
      <w:r w:rsidRPr="00D9241F">
        <w:rPr>
          <w:rFonts w:eastAsia="Times New Roman" w:cstheme="minorHAnsi"/>
          <w:lang w:eastAsia="it-IT"/>
        </w:rPr>
        <w:t xml:space="preserve"> come </w:t>
      </w:r>
      <w:r w:rsidR="005C0A1C" w:rsidRPr="00D9241F">
        <w:rPr>
          <w:rFonts w:eastAsia="Times New Roman" w:cstheme="minorHAnsi"/>
          <w:lang w:eastAsia="it-IT"/>
        </w:rPr>
        <w:t xml:space="preserve">disagio </w:t>
      </w:r>
      <w:r w:rsidRPr="00D9241F">
        <w:rPr>
          <w:rFonts w:eastAsia="Times New Roman" w:cstheme="minorHAnsi"/>
          <w:lang w:eastAsia="it-IT"/>
        </w:rPr>
        <w:t xml:space="preserve">e disadattamento scolastico o, ancora, nei mancati progressi individuali. La ricerca educativa lo ha affrontato da prospettive multidisciplinari, secondo una varietà di approcci, dalla visione strutturale focalizzata sulla dimensione socioeconomica (Colombo, 2010), alla concezione </w:t>
      </w:r>
      <w:r w:rsidR="00A97C41" w:rsidRPr="00D9241F">
        <w:rPr>
          <w:rFonts w:eastAsia="Times New Roman" w:cstheme="minorHAnsi"/>
          <w:lang w:eastAsia="it-IT"/>
        </w:rPr>
        <w:t>focale incentrata</w:t>
      </w:r>
      <w:r w:rsidRPr="00D9241F">
        <w:rPr>
          <w:rFonts w:eastAsia="Times New Roman" w:cstheme="minorHAnsi"/>
          <w:lang w:eastAsia="it-IT"/>
        </w:rPr>
        <w:t xml:space="preserve"> sui fattori di rischio (Blaya, 2010, Fortin &amp; al., 2004, 2006), alla più recente impostazione pedagogica di ispirazione ecologico-sistemica (Bronfenbrenner, 1974) centrata sul costrutto di successo formativo (Bernard, 2014; Grange, 2011; Kahn, 2011; Cunti, 2017)</w:t>
      </w:r>
      <w:r w:rsidR="00327994" w:rsidRPr="00D9241F">
        <w:rPr>
          <w:rFonts w:eastAsia="Times New Roman" w:cstheme="minorHAnsi"/>
          <w:lang w:eastAsia="it-IT"/>
        </w:rPr>
        <w:t xml:space="preserve">: </w:t>
      </w:r>
      <w:r w:rsidR="007D03F7" w:rsidRPr="00D9241F">
        <w:rPr>
          <w:rFonts w:eastAsia="Times New Roman" w:cstheme="minorHAnsi"/>
          <w:lang w:eastAsia="it-IT"/>
        </w:rPr>
        <w:t xml:space="preserve"> </w:t>
      </w:r>
      <w:r w:rsidR="00327994" w:rsidRPr="00D9241F">
        <w:rPr>
          <w:rFonts w:eastAsia="Times New Roman" w:cstheme="minorHAnsi"/>
          <w:lang w:eastAsia="it-IT"/>
        </w:rPr>
        <w:t>i</w:t>
      </w:r>
      <w:r w:rsidR="00E05290" w:rsidRPr="00D9241F">
        <w:rPr>
          <w:rFonts w:eastAsia="Times New Roman" w:cstheme="minorHAnsi"/>
          <w:lang w:eastAsia="it-IT"/>
        </w:rPr>
        <w:t xml:space="preserve">l contrasto </w:t>
      </w:r>
      <w:r w:rsidR="00837700" w:rsidRPr="00D9241F">
        <w:rPr>
          <w:rFonts w:eastAsia="Times New Roman" w:cstheme="minorHAnsi"/>
          <w:lang w:eastAsia="it-IT"/>
        </w:rPr>
        <w:t xml:space="preserve">alla dispersione </w:t>
      </w:r>
      <w:r w:rsidR="00E05290" w:rsidRPr="00D9241F">
        <w:rPr>
          <w:rFonts w:eastAsia="Times New Roman" w:cstheme="minorHAnsi"/>
          <w:lang w:eastAsia="it-IT"/>
        </w:rPr>
        <w:t xml:space="preserve"> è inteso </w:t>
      </w:r>
      <w:r w:rsidR="00837700" w:rsidRPr="00D9241F">
        <w:rPr>
          <w:rFonts w:eastAsia="Times New Roman" w:cstheme="minorHAnsi"/>
          <w:lang w:eastAsia="it-IT"/>
        </w:rPr>
        <w:t>come conseguenza delle azioni positive per il successo formativo di tutti</w:t>
      </w:r>
      <w:r w:rsidR="00327994" w:rsidRPr="00D9241F">
        <w:rPr>
          <w:rFonts w:eastAsia="Times New Roman" w:cstheme="minorHAnsi"/>
          <w:lang w:eastAsia="it-IT"/>
        </w:rPr>
        <w:t xml:space="preserve"> e di tutte.</w:t>
      </w:r>
    </w:p>
    <w:p w14:paraId="5AEC0755" w14:textId="77777777" w:rsidR="00D9241F" w:rsidRPr="00D9241F" w:rsidRDefault="00D9241F" w:rsidP="00D9241F">
      <w:pPr>
        <w:pStyle w:val="Paragrafoelenco"/>
        <w:spacing w:line="276" w:lineRule="auto"/>
        <w:jc w:val="both"/>
        <w:textAlignment w:val="baseline"/>
        <w:rPr>
          <w:rFonts w:eastAsia="Times New Roman" w:cstheme="minorHAnsi"/>
          <w:lang w:eastAsia="it-IT"/>
        </w:rPr>
      </w:pPr>
    </w:p>
    <w:p w14:paraId="57028D11" w14:textId="2BE2356D" w:rsidR="00EE511D" w:rsidRPr="00D9241F" w:rsidRDefault="002A356B" w:rsidP="00DC14E8">
      <w:pPr>
        <w:pStyle w:val="Paragrafoelenco"/>
        <w:numPr>
          <w:ilvl w:val="0"/>
          <w:numId w:val="3"/>
        </w:numPr>
        <w:ind w:left="714" w:hanging="357"/>
        <w:jc w:val="both"/>
        <w:textAlignment w:val="baseline"/>
        <w:rPr>
          <w:rFonts w:eastAsia="Times New Roman" w:cstheme="minorHAnsi"/>
          <w:lang w:eastAsia="it-IT"/>
        </w:rPr>
      </w:pPr>
      <w:r w:rsidRPr="00D9241F">
        <w:rPr>
          <w:rFonts w:eastAsia="Times New Roman" w:cstheme="minorHAnsi"/>
          <w:lang w:eastAsia="it-IT"/>
        </w:rPr>
        <w:t xml:space="preserve">In accordo con il principio di educabilità, </w:t>
      </w:r>
      <w:r w:rsidR="00113AFF" w:rsidRPr="00D9241F">
        <w:rPr>
          <w:rFonts w:eastAsia="Times New Roman" w:cstheme="minorHAnsi"/>
          <w:lang w:eastAsia="it-IT"/>
        </w:rPr>
        <w:t>l</w:t>
      </w:r>
      <w:r w:rsidR="000F06F4" w:rsidRPr="00D9241F">
        <w:rPr>
          <w:rFonts w:eastAsia="Times New Roman" w:cstheme="minorHAnsi"/>
          <w:lang w:eastAsia="it-IT"/>
        </w:rPr>
        <w:t>a promozione del</w:t>
      </w:r>
      <w:r w:rsidR="001E1975" w:rsidRPr="00D9241F">
        <w:rPr>
          <w:rFonts w:eastAsia="Times New Roman" w:cstheme="minorHAnsi"/>
          <w:lang w:eastAsia="it-IT"/>
        </w:rPr>
        <w:t xml:space="preserve"> successo formativo di </w:t>
      </w:r>
      <w:r w:rsidR="00843CC0" w:rsidRPr="00D9241F">
        <w:rPr>
          <w:rFonts w:eastAsia="Times New Roman" w:cstheme="minorHAnsi"/>
          <w:lang w:eastAsia="it-IT"/>
        </w:rPr>
        <w:t>tutte le alunne e di tutti gli alunni</w:t>
      </w:r>
      <w:r w:rsidR="00113AFF" w:rsidRPr="00D9241F">
        <w:rPr>
          <w:rFonts w:eastAsia="Times New Roman" w:cstheme="minorHAnsi"/>
          <w:lang w:eastAsia="it-IT"/>
        </w:rPr>
        <w:t xml:space="preserve"> </w:t>
      </w:r>
      <w:r w:rsidR="00FD6CAD" w:rsidRPr="00D9241F">
        <w:rPr>
          <w:rFonts w:eastAsia="Times New Roman" w:cstheme="minorHAnsi"/>
          <w:lang w:eastAsia="it-IT"/>
        </w:rPr>
        <w:t xml:space="preserve">consente </w:t>
      </w:r>
      <w:r w:rsidR="00D86163" w:rsidRPr="00D9241F">
        <w:rPr>
          <w:rFonts w:cstheme="minorHAnsi"/>
        </w:rPr>
        <w:t xml:space="preserve">il superamento </w:t>
      </w:r>
      <w:r w:rsidR="00113AFF" w:rsidRPr="00D9241F">
        <w:rPr>
          <w:rFonts w:cstheme="minorHAnsi"/>
        </w:rPr>
        <w:t>di una</w:t>
      </w:r>
      <w:r w:rsidR="00D86163" w:rsidRPr="00D9241F">
        <w:rPr>
          <w:rFonts w:cstheme="minorHAnsi"/>
        </w:rPr>
        <w:t xml:space="preserve"> concezione emergenziale della dispersione e dell’abbandono scolastico, in favore di una visione contestualizzata, integrata e orientata all’innalzamento della qualità dell’offerta formativa</w:t>
      </w:r>
      <w:r w:rsidR="00ED40CD" w:rsidRPr="00D9241F">
        <w:rPr>
          <w:rFonts w:eastAsia="Times New Roman" w:cstheme="minorHAnsi"/>
          <w:lang w:eastAsia="it-IT"/>
        </w:rPr>
        <w:t xml:space="preserve"> </w:t>
      </w:r>
      <w:r w:rsidR="006D6976" w:rsidRPr="00D9241F">
        <w:rPr>
          <w:rFonts w:cstheme="minorHAnsi"/>
        </w:rPr>
        <w:t xml:space="preserve">nell’ordinarietà </w:t>
      </w:r>
      <w:r w:rsidR="00EC09F0" w:rsidRPr="00D9241F">
        <w:rPr>
          <w:rFonts w:cstheme="minorHAnsi"/>
        </w:rPr>
        <w:t xml:space="preserve">e nella quotidianità </w:t>
      </w:r>
      <w:r w:rsidR="006D6976" w:rsidRPr="00D9241F">
        <w:rPr>
          <w:rFonts w:cstheme="minorHAnsi"/>
        </w:rPr>
        <w:t>dell’azione educativa</w:t>
      </w:r>
      <w:r w:rsidR="00123192" w:rsidRPr="00D9241F">
        <w:rPr>
          <w:rFonts w:cstheme="minorHAnsi"/>
        </w:rPr>
        <w:t>,</w:t>
      </w:r>
      <w:r w:rsidR="007D03F7" w:rsidRPr="00D9241F">
        <w:rPr>
          <w:rFonts w:cstheme="minorHAnsi"/>
        </w:rPr>
        <w:t xml:space="preserve"> in modo sostenibile e sul lungo periodo</w:t>
      </w:r>
      <w:r w:rsidR="00013902" w:rsidRPr="00D9241F">
        <w:rPr>
          <w:rFonts w:cstheme="minorHAnsi"/>
        </w:rPr>
        <w:t xml:space="preserve">. </w:t>
      </w:r>
    </w:p>
    <w:p w14:paraId="47E4A796" w14:textId="77777777" w:rsidR="00D9241F" w:rsidRPr="00D9241F" w:rsidRDefault="00D9241F" w:rsidP="00D9241F">
      <w:pPr>
        <w:pStyle w:val="Paragrafoelenco"/>
        <w:rPr>
          <w:rFonts w:eastAsia="Times New Roman" w:cstheme="minorHAnsi"/>
          <w:lang w:eastAsia="it-IT"/>
        </w:rPr>
      </w:pPr>
    </w:p>
    <w:p w14:paraId="20285F81" w14:textId="77777777" w:rsidR="00D9241F" w:rsidRPr="00D9241F" w:rsidRDefault="00D9241F" w:rsidP="00D9241F">
      <w:pPr>
        <w:pStyle w:val="Paragrafoelenco"/>
        <w:spacing w:line="276" w:lineRule="auto"/>
        <w:jc w:val="both"/>
        <w:textAlignment w:val="baseline"/>
        <w:rPr>
          <w:rFonts w:eastAsia="Times New Roman" w:cstheme="minorHAnsi"/>
          <w:lang w:eastAsia="it-IT"/>
        </w:rPr>
      </w:pPr>
    </w:p>
    <w:p w14:paraId="02317057" w14:textId="244118E7" w:rsidR="00EE442F" w:rsidRPr="008E62C4" w:rsidRDefault="007E131D" w:rsidP="00D9241F">
      <w:pPr>
        <w:pStyle w:val="Paragrafoelenco"/>
        <w:numPr>
          <w:ilvl w:val="0"/>
          <w:numId w:val="3"/>
        </w:numPr>
        <w:jc w:val="both"/>
        <w:rPr>
          <w:rFonts w:cstheme="minorHAnsi"/>
        </w:rPr>
      </w:pPr>
      <w:r w:rsidRPr="00D9241F">
        <w:rPr>
          <w:rFonts w:eastAsia="Times New Roman" w:cstheme="minorHAnsi"/>
          <w:lang w:eastAsia="it-IT"/>
        </w:rPr>
        <w:t>Un approccio ecologico-sistemico</w:t>
      </w:r>
      <w:r w:rsidR="00774AA6" w:rsidRPr="00D9241F">
        <w:rPr>
          <w:rFonts w:eastAsia="Times New Roman" w:cstheme="minorHAnsi"/>
          <w:lang w:eastAsia="it-IT"/>
        </w:rPr>
        <w:t xml:space="preserve"> al successo formativo implica</w:t>
      </w:r>
      <w:r w:rsidR="00B80ABB" w:rsidRPr="00D9241F">
        <w:rPr>
          <w:rFonts w:eastAsia="Times New Roman" w:cstheme="minorHAnsi"/>
          <w:lang w:eastAsia="it-IT"/>
        </w:rPr>
        <w:t xml:space="preserve"> una progettazione </w:t>
      </w:r>
      <w:r w:rsidR="00136A3D" w:rsidRPr="00D9241F">
        <w:rPr>
          <w:rFonts w:eastAsia="Times New Roman" w:cstheme="minorHAnsi"/>
          <w:lang w:eastAsia="it-IT"/>
        </w:rPr>
        <w:t xml:space="preserve">educativa e didattica </w:t>
      </w:r>
      <w:r w:rsidR="00B23E0D" w:rsidRPr="00D9241F">
        <w:rPr>
          <w:rFonts w:eastAsia="Times New Roman" w:cstheme="minorHAnsi"/>
          <w:lang w:eastAsia="it-IT"/>
        </w:rPr>
        <w:t>a più livelli</w:t>
      </w:r>
      <w:r w:rsidR="00136A3D" w:rsidRPr="00D9241F">
        <w:rPr>
          <w:rFonts w:eastAsia="Times New Roman" w:cstheme="minorHAnsi"/>
          <w:lang w:eastAsia="it-IT"/>
        </w:rPr>
        <w:t>,</w:t>
      </w:r>
      <w:r w:rsidR="00B23E0D" w:rsidRPr="00D9241F">
        <w:rPr>
          <w:rFonts w:eastAsia="Times New Roman" w:cstheme="minorHAnsi"/>
          <w:lang w:eastAsia="it-IT"/>
        </w:rPr>
        <w:t xml:space="preserve"> che</w:t>
      </w:r>
      <w:r w:rsidR="00AA0905" w:rsidRPr="00D9241F">
        <w:rPr>
          <w:rFonts w:eastAsia="Times New Roman" w:cstheme="minorHAnsi"/>
          <w:lang w:eastAsia="it-IT"/>
        </w:rPr>
        <w:t xml:space="preserve"> contempli aperture e intersezioni con i diversi ambienti di vita delle alunne e degli alunni</w:t>
      </w:r>
      <w:r w:rsidR="00255D02" w:rsidRPr="00D9241F">
        <w:rPr>
          <w:rFonts w:eastAsia="Times New Roman" w:cstheme="minorHAnsi"/>
          <w:lang w:eastAsia="it-IT"/>
        </w:rPr>
        <w:t xml:space="preserve"> e che </w:t>
      </w:r>
      <w:r w:rsidR="00BE7CE2" w:rsidRPr="00D9241F">
        <w:rPr>
          <w:rFonts w:eastAsia="Times New Roman" w:cstheme="minorHAnsi"/>
          <w:lang w:eastAsia="it-IT"/>
        </w:rPr>
        <w:t>comprenda il</w:t>
      </w:r>
      <w:r w:rsidR="00774AA6" w:rsidRPr="00D9241F">
        <w:rPr>
          <w:rFonts w:eastAsia="Times New Roman" w:cstheme="minorHAnsi"/>
          <w:lang w:eastAsia="it-IT"/>
        </w:rPr>
        <w:t xml:space="preserve"> coinvolgimento </w:t>
      </w:r>
      <w:r w:rsidR="00313AD8" w:rsidRPr="00D9241F">
        <w:rPr>
          <w:rFonts w:eastAsia="Times New Roman" w:cstheme="minorHAnsi"/>
          <w:lang w:eastAsia="it-IT"/>
        </w:rPr>
        <w:t>del territorio</w:t>
      </w:r>
      <w:r w:rsidR="00BA302F" w:rsidRPr="00D9241F">
        <w:rPr>
          <w:rFonts w:eastAsia="Times New Roman" w:cstheme="minorHAnsi"/>
          <w:lang w:eastAsia="it-IT"/>
        </w:rPr>
        <w:t xml:space="preserve"> e</w:t>
      </w:r>
      <w:r w:rsidR="00313AD8" w:rsidRPr="00D9241F">
        <w:rPr>
          <w:rFonts w:eastAsia="Times New Roman" w:cstheme="minorHAnsi"/>
          <w:lang w:eastAsia="it-IT"/>
        </w:rPr>
        <w:t xml:space="preserve"> della</w:t>
      </w:r>
      <w:r w:rsidR="00774AA6" w:rsidRPr="00D9241F">
        <w:rPr>
          <w:rFonts w:eastAsia="Times New Roman" w:cstheme="minorHAnsi"/>
          <w:lang w:eastAsia="it-IT"/>
        </w:rPr>
        <w:t xml:space="preserve"> comunità</w:t>
      </w:r>
      <w:r w:rsidR="00BA302F" w:rsidRPr="00D9241F">
        <w:rPr>
          <w:rFonts w:eastAsia="Times New Roman" w:cstheme="minorHAnsi"/>
          <w:lang w:eastAsia="it-IT"/>
        </w:rPr>
        <w:t>, come pure</w:t>
      </w:r>
      <w:r w:rsidR="00774AA6" w:rsidRPr="00D9241F">
        <w:rPr>
          <w:rFonts w:eastAsia="Times New Roman" w:cstheme="minorHAnsi"/>
          <w:lang w:eastAsia="it-IT"/>
        </w:rPr>
        <w:t xml:space="preserve"> la collaborazione intra e inter-istituzionale tra più figure professionali. </w:t>
      </w:r>
      <w:r w:rsidR="00C97446" w:rsidRPr="00D9241F">
        <w:rPr>
          <w:rFonts w:eastAsia="Times New Roman" w:cstheme="minorHAnsi"/>
          <w:lang w:eastAsia="it-IT"/>
        </w:rPr>
        <w:t xml:space="preserve">In particolare, </w:t>
      </w:r>
      <w:r w:rsidR="00C97446" w:rsidRPr="00D9241F">
        <w:rPr>
          <w:rFonts w:cstheme="minorHAnsi"/>
        </w:rPr>
        <w:t>si tratta</w:t>
      </w:r>
      <w:r w:rsidR="00656DA6" w:rsidRPr="00D9241F">
        <w:rPr>
          <w:rFonts w:cstheme="minorHAnsi"/>
        </w:rPr>
        <w:t xml:space="preserve"> di costruire e coltivare</w:t>
      </w:r>
      <w:r w:rsidR="00116CA1" w:rsidRPr="00D9241F">
        <w:rPr>
          <w:rFonts w:cstheme="minorHAnsi"/>
        </w:rPr>
        <w:t xml:space="preserve"> in modo sistematico e c</w:t>
      </w:r>
      <w:r w:rsidR="00E01036" w:rsidRPr="00D9241F">
        <w:rPr>
          <w:rFonts w:cstheme="minorHAnsi"/>
        </w:rPr>
        <w:t>ontinuativo</w:t>
      </w:r>
      <w:r w:rsidR="00656DA6" w:rsidRPr="00D9241F">
        <w:rPr>
          <w:rFonts w:cstheme="minorHAnsi"/>
        </w:rPr>
        <w:t xml:space="preserve"> un’alleanza educativa con le famiglie, con il territorio e con il mondo del lavoro. </w:t>
      </w:r>
      <w:hyperlink r:id="rId7" w:anchor="sl=eng&amp;tl=ita&amp;text=Students%20learn%20more%20and%20succeed%20at%20higher%20levels%20when%20home,%20school,%20and%20community%20work%20together%20to%20support%20students'%20learning%20and%20development" w:tgtFrame="_blank" w:history="1">
        <w:r w:rsidR="00254628" w:rsidRPr="00D9241F">
          <w:rPr>
            <w:rStyle w:val="Collegamentoipertestuale"/>
            <w:rFonts w:cstheme="minorHAnsi"/>
            <w:color w:val="000000"/>
            <w:u w:val="none"/>
            <w:shd w:val="clear" w:color="auto" w:fill="FFFFFF"/>
          </w:rPr>
          <w:t xml:space="preserve">Gli studenti imparano di più e hanno successo a livelli superiori quando </w:t>
        </w:r>
        <w:r w:rsidR="00405162">
          <w:rPr>
            <w:rStyle w:val="Collegamentoipertestuale"/>
            <w:rFonts w:cstheme="minorHAnsi"/>
            <w:color w:val="000000"/>
            <w:u w:val="none"/>
            <w:shd w:val="clear" w:color="auto" w:fill="FFFFFF"/>
          </w:rPr>
          <w:t>famiglia</w:t>
        </w:r>
        <w:r w:rsidR="00254628" w:rsidRPr="00D9241F">
          <w:rPr>
            <w:rStyle w:val="Collegamentoipertestuale"/>
            <w:rFonts w:cstheme="minorHAnsi"/>
            <w:color w:val="000000"/>
            <w:u w:val="none"/>
            <w:shd w:val="clear" w:color="auto" w:fill="FFFFFF"/>
          </w:rPr>
          <w:t>, scuola e comunità lavorano insieme</w:t>
        </w:r>
      </w:hyperlink>
      <w:r w:rsidR="00052152" w:rsidRPr="00D9241F">
        <w:rPr>
          <w:rFonts w:cstheme="minorHAnsi"/>
        </w:rPr>
        <w:t xml:space="preserve"> </w:t>
      </w:r>
      <w:r w:rsidR="0020352E" w:rsidRPr="00D9241F">
        <w:rPr>
          <w:rFonts w:eastAsia="Times New Roman" w:cstheme="minorHAnsi"/>
          <w:lang w:eastAsia="it-IT"/>
        </w:rPr>
        <w:t>(Epstein, 2001)</w:t>
      </w:r>
      <w:r w:rsidR="0043265D">
        <w:rPr>
          <w:rFonts w:eastAsia="Times New Roman" w:cstheme="minorHAnsi"/>
          <w:lang w:eastAsia="it-IT"/>
        </w:rPr>
        <w:t>:</w:t>
      </w:r>
    </w:p>
    <w:p w14:paraId="52E0FEEA" w14:textId="77777777" w:rsidR="008E62C4" w:rsidRPr="00D9241F" w:rsidRDefault="008E62C4" w:rsidP="008E62C4">
      <w:pPr>
        <w:pStyle w:val="Paragrafoelenco"/>
        <w:jc w:val="both"/>
        <w:rPr>
          <w:rFonts w:cstheme="minorHAnsi"/>
        </w:rPr>
      </w:pPr>
    </w:p>
    <w:p w14:paraId="5E817AF1" w14:textId="2A510D02" w:rsidR="00C95CFB" w:rsidRPr="0043265D" w:rsidRDefault="00C95CFB" w:rsidP="00406877">
      <w:pPr>
        <w:pStyle w:val="Paragrafoelenco"/>
        <w:numPr>
          <w:ilvl w:val="1"/>
          <w:numId w:val="6"/>
        </w:numPr>
        <w:ind w:left="1434" w:hanging="357"/>
        <w:jc w:val="both"/>
        <w:rPr>
          <w:rFonts w:eastAsia="Times New Roman" w:cstheme="minorHAnsi"/>
          <w:lang w:eastAsia="it-IT"/>
        </w:rPr>
      </w:pPr>
      <w:r w:rsidRPr="0043265D">
        <w:rPr>
          <w:rFonts w:eastAsia="Times New Roman" w:cstheme="minorHAnsi"/>
          <w:lang w:eastAsia="it-IT"/>
        </w:rPr>
        <w:t>L’alleanza</w:t>
      </w:r>
      <w:r w:rsidR="00EC444D" w:rsidRPr="0043265D">
        <w:rPr>
          <w:rFonts w:eastAsia="Times New Roman" w:cstheme="minorHAnsi"/>
          <w:lang w:eastAsia="it-IT"/>
        </w:rPr>
        <w:t xml:space="preserve"> tra famiglia e scuola si fonda sul rispetto reciproco e sul riconoscimento delle risorse e dell’esperienza di entrambe le parti, favorendo lo sviluppo di una cultura della fiducia. </w:t>
      </w:r>
      <w:r w:rsidR="00345C81" w:rsidRPr="0043265D">
        <w:rPr>
          <w:rFonts w:eastAsia="Times New Roman" w:cstheme="minorHAnsi"/>
          <w:lang w:eastAsia="it-IT"/>
        </w:rPr>
        <w:t xml:space="preserve">Il modello </w:t>
      </w:r>
      <w:r w:rsidR="00345C81" w:rsidRPr="004F4FFF">
        <w:rPr>
          <w:rFonts w:eastAsia="Times New Roman" w:cstheme="minorHAnsi"/>
          <w:i/>
          <w:iCs/>
          <w:lang w:eastAsia="it-IT"/>
        </w:rPr>
        <w:t>partenariale</w:t>
      </w:r>
      <w:r w:rsidR="00345C81" w:rsidRPr="0043265D">
        <w:rPr>
          <w:rFonts w:eastAsia="Times New Roman" w:cstheme="minorHAnsi"/>
          <w:lang w:eastAsia="it-IT"/>
        </w:rPr>
        <w:t xml:space="preserve"> </w:t>
      </w:r>
      <w:r w:rsidR="002B6225" w:rsidRPr="0043265D">
        <w:rPr>
          <w:rFonts w:eastAsia="Times New Roman" w:cstheme="minorHAnsi"/>
          <w:lang w:eastAsia="it-IT"/>
        </w:rPr>
        <w:t xml:space="preserve">richiede un percorso </w:t>
      </w:r>
      <w:r w:rsidR="007B570B" w:rsidRPr="0043265D">
        <w:rPr>
          <w:rFonts w:eastAsia="Times New Roman" w:cstheme="minorHAnsi"/>
          <w:lang w:eastAsia="it-IT"/>
        </w:rPr>
        <w:t xml:space="preserve">partecipato di costruzione, </w:t>
      </w:r>
      <w:r w:rsidR="005555AD" w:rsidRPr="0043265D">
        <w:rPr>
          <w:rFonts w:eastAsia="Times New Roman" w:cstheme="minorHAnsi"/>
          <w:lang w:eastAsia="it-IT"/>
        </w:rPr>
        <w:t>che</w:t>
      </w:r>
      <w:r w:rsidR="007B570B" w:rsidRPr="0043265D">
        <w:rPr>
          <w:rFonts w:eastAsia="Times New Roman" w:cstheme="minorHAnsi"/>
          <w:lang w:eastAsia="it-IT"/>
        </w:rPr>
        <w:t xml:space="preserve"> la scuola </w:t>
      </w:r>
      <w:r w:rsidR="005555AD" w:rsidRPr="0043265D">
        <w:rPr>
          <w:rFonts w:eastAsia="Times New Roman" w:cstheme="minorHAnsi"/>
          <w:lang w:eastAsia="it-IT"/>
        </w:rPr>
        <w:t xml:space="preserve">promuove </w:t>
      </w:r>
      <w:r w:rsidR="00934685" w:rsidRPr="0043265D">
        <w:rPr>
          <w:rFonts w:eastAsia="Times New Roman" w:cstheme="minorHAnsi"/>
          <w:lang w:eastAsia="it-IT"/>
        </w:rPr>
        <w:t>mettendo a disposizione le proprie risorse organizzative</w:t>
      </w:r>
      <w:r w:rsidR="00336106" w:rsidRPr="0043265D">
        <w:rPr>
          <w:rFonts w:eastAsia="Times New Roman" w:cstheme="minorHAnsi"/>
          <w:lang w:eastAsia="it-IT"/>
        </w:rPr>
        <w:t xml:space="preserve"> e</w:t>
      </w:r>
      <w:r w:rsidR="00934685" w:rsidRPr="0043265D">
        <w:rPr>
          <w:rFonts w:eastAsia="Times New Roman" w:cstheme="minorHAnsi"/>
          <w:lang w:eastAsia="it-IT"/>
        </w:rPr>
        <w:t xml:space="preserve"> </w:t>
      </w:r>
      <w:r w:rsidR="00336106" w:rsidRPr="0043265D">
        <w:rPr>
          <w:rFonts w:eastAsia="Times New Roman" w:cstheme="minorHAnsi"/>
          <w:lang w:eastAsia="it-IT"/>
        </w:rPr>
        <w:t>professionali</w:t>
      </w:r>
      <w:r w:rsidR="005F072E" w:rsidRPr="0043265D">
        <w:rPr>
          <w:rFonts w:eastAsia="Times New Roman" w:cstheme="minorHAnsi"/>
          <w:lang w:eastAsia="it-IT"/>
        </w:rPr>
        <w:t>, predisponendo adeguati spazi di incontro e confronto</w:t>
      </w:r>
      <w:r w:rsidR="00A5362D" w:rsidRPr="0043265D">
        <w:rPr>
          <w:rFonts w:eastAsia="Times New Roman" w:cstheme="minorHAnsi"/>
          <w:lang w:eastAsia="it-IT"/>
        </w:rPr>
        <w:t xml:space="preserve"> che consentano di far evolvere le relazioni verso </w:t>
      </w:r>
      <w:r w:rsidR="003A7059" w:rsidRPr="0043265D">
        <w:rPr>
          <w:rFonts w:eastAsia="Times New Roman" w:cstheme="minorHAnsi"/>
          <w:lang w:eastAsia="it-IT"/>
        </w:rPr>
        <w:t xml:space="preserve">pratiche di </w:t>
      </w:r>
      <w:r w:rsidR="003A7059" w:rsidRPr="004F4FFF">
        <w:rPr>
          <w:rFonts w:eastAsia="Times New Roman" w:cstheme="minorHAnsi"/>
          <w:i/>
          <w:iCs/>
          <w:lang w:eastAsia="it-IT"/>
        </w:rPr>
        <w:t xml:space="preserve">coeducazione </w:t>
      </w:r>
      <w:r w:rsidR="003A7059" w:rsidRPr="0043265D">
        <w:rPr>
          <w:rFonts w:eastAsia="Times New Roman" w:cstheme="minorHAnsi"/>
          <w:lang w:eastAsia="it-IT"/>
        </w:rPr>
        <w:t>(Colombani, 2007).</w:t>
      </w:r>
    </w:p>
    <w:p w14:paraId="5CD96BD2" w14:textId="2B2250C6" w:rsidR="00DC01F8" w:rsidRPr="0043265D" w:rsidRDefault="00EA1DD2" w:rsidP="00406877">
      <w:pPr>
        <w:pStyle w:val="Paragrafoelenco"/>
        <w:numPr>
          <w:ilvl w:val="1"/>
          <w:numId w:val="6"/>
        </w:numPr>
        <w:ind w:left="1434" w:hanging="357"/>
        <w:jc w:val="both"/>
        <w:rPr>
          <w:rFonts w:cstheme="minorHAnsi"/>
        </w:rPr>
      </w:pPr>
      <w:r w:rsidRPr="0043265D">
        <w:rPr>
          <w:rFonts w:cstheme="minorHAnsi"/>
        </w:rPr>
        <w:t>Le</w:t>
      </w:r>
      <w:r w:rsidR="003B652B" w:rsidRPr="0043265D">
        <w:rPr>
          <w:rFonts w:cstheme="minorHAnsi"/>
        </w:rPr>
        <w:t xml:space="preserve"> sinergie territoriali e </w:t>
      </w:r>
      <w:r w:rsidRPr="0043265D">
        <w:rPr>
          <w:rFonts w:cstheme="minorHAnsi"/>
        </w:rPr>
        <w:t xml:space="preserve">le </w:t>
      </w:r>
      <w:r w:rsidR="003B652B" w:rsidRPr="0043265D">
        <w:rPr>
          <w:rFonts w:cstheme="minorHAnsi"/>
        </w:rPr>
        <w:t>collaborazioni</w:t>
      </w:r>
      <w:r w:rsidR="00D31F13" w:rsidRPr="0043265D">
        <w:rPr>
          <w:rFonts w:cstheme="minorHAnsi"/>
        </w:rPr>
        <w:t xml:space="preserve"> per la realizzazione di attività curricolari ed extracurricolari, scolastiche ed extrascolastiche</w:t>
      </w:r>
      <w:r w:rsidR="003B652B" w:rsidRPr="0043265D">
        <w:rPr>
          <w:rFonts w:cstheme="minorHAnsi"/>
        </w:rPr>
        <w:t>, anche attraverso progetti di rete con altre istituzioni scolastiche</w:t>
      </w:r>
      <w:r w:rsidR="006B6C1F" w:rsidRPr="0043265D">
        <w:rPr>
          <w:rFonts w:cstheme="minorHAnsi"/>
        </w:rPr>
        <w:t xml:space="preserve">, </w:t>
      </w:r>
      <w:r w:rsidR="000C6223" w:rsidRPr="0043265D">
        <w:rPr>
          <w:rFonts w:cstheme="minorHAnsi"/>
        </w:rPr>
        <w:t xml:space="preserve">richiedono </w:t>
      </w:r>
      <w:r w:rsidR="004860EC" w:rsidRPr="0043265D">
        <w:rPr>
          <w:rFonts w:cstheme="minorHAnsi"/>
        </w:rPr>
        <w:t>una integrazione funzionale tra il lavoro dei/delle docenti e quello degli/delle esperti/e esterni/e</w:t>
      </w:r>
      <w:r w:rsidR="00F16E1B" w:rsidRPr="0043265D">
        <w:rPr>
          <w:rFonts w:cstheme="minorHAnsi"/>
        </w:rPr>
        <w:t xml:space="preserve">, da costruire a partire da modelli organizzativi </w:t>
      </w:r>
      <w:r w:rsidR="008D50E2" w:rsidRPr="0043265D">
        <w:rPr>
          <w:rFonts w:cstheme="minorHAnsi"/>
        </w:rPr>
        <w:t>appropriati e</w:t>
      </w:r>
      <w:r w:rsidR="0033545E" w:rsidRPr="0043265D">
        <w:rPr>
          <w:rFonts w:cstheme="minorHAnsi"/>
        </w:rPr>
        <w:t>d espressamente</w:t>
      </w:r>
      <w:r w:rsidR="008D50E2" w:rsidRPr="0043265D">
        <w:rPr>
          <w:rFonts w:cstheme="minorHAnsi"/>
        </w:rPr>
        <w:t xml:space="preserve"> orientati al traguardo formativo </w:t>
      </w:r>
      <w:r w:rsidR="0033545E" w:rsidRPr="0043265D">
        <w:rPr>
          <w:rFonts w:cstheme="minorHAnsi"/>
        </w:rPr>
        <w:t xml:space="preserve">prescelto </w:t>
      </w:r>
      <w:r w:rsidR="008D50E2" w:rsidRPr="0043265D">
        <w:rPr>
          <w:rFonts w:cstheme="minorHAnsi"/>
        </w:rPr>
        <w:t>per le alunne e gli alunni</w:t>
      </w:r>
      <w:r w:rsidR="0033545E" w:rsidRPr="0043265D">
        <w:rPr>
          <w:rFonts w:cstheme="minorHAnsi"/>
        </w:rPr>
        <w:t>.</w:t>
      </w:r>
    </w:p>
    <w:p w14:paraId="6E728D39" w14:textId="59CDCEB9" w:rsidR="00410441" w:rsidRPr="0043265D" w:rsidRDefault="00DC01F8" w:rsidP="00406877">
      <w:pPr>
        <w:pStyle w:val="Paragrafoelenco"/>
        <w:numPr>
          <w:ilvl w:val="1"/>
          <w:numId w:val="6"/>
        </w:numPr>
        <w:ind w:left="1434" w:hanging="357"/>
        <w:jc w:val="both"/>
        <w:rPr>
          <w:rFonts w:cstheme="minorHAnsi"/>
        </w:rPr>
      </w:pPr>
      <w:r w:rsidRPr="0043265D">
        <w:rPr>
          <w:rFonts w:cstheme="minorHAnsi"/>
        </w:rPr>
        <w:t>L</w:t>
      </w:r>
      <w:r w:rsidR="00900395" w:rsidRPr="0043265D">
        <w:rPr>
          <w:rFonts w:cstheme="minorHAnsi"/>
        </w:rPr>
        <w:t xml:space="preserve">a conoscenza </w:t>
      </w:r>
      <w:r w:rsidR="004471E4" w:rsidRPr="0043265D">
        <w:rPr>
          <w:rFonts w:cstheme="minorHAnsi"/>
        </w:rPr>
        <w:t>del</w:t>
      </w:r>
      <w:r w:rsidR="00410441" w:rsidRPr="0043265D">
        <w:rPr>
          <w:rFonts w:cstheme="minorHAnsi"/>
        </w:rPr>
        <w:t xml:space="preserve"> mondo del lavoro</w:t>
      </w:r>
      <w:r w:rsidR="004471E4" w:rsidRPr="0043265D">
        <w:rPr>
          <w:rFonts w:cstheme="minorHAnsi"/>
        </w:rPr>
        <w:t xml:space="preserve"> e </w:t>
      </w:r>
      <w:r w:rsidR="00C06782" w:rsidRPr="0043265D">
        <w:rPr>
          <w:rFonts w:cstheme="minorHAnsi"/>
        </w:rPr>
        <w:t>le esperienze sul campo</w:t>
      </w:r>
      <w:r w:rsidR="00284F8F" w:rsidRPr="0043265D">
        <w:rPr>
          <w:rFonts w:cstheme="minorHAnsi"/>
        </w:rPr>
        <w:t xml:space="preserve"> (stage, tir</w:t>
      </w:r>
      <w:r w:rsidR="007D1761" w:rsidRPr="0043265D">
        <w:rPr>
          <w:rFonts w:cstheme="minorHAnsi"/>
        </w:rPr>
        <w:t>ocini)</w:t>
      </w:r>
      <w:r w:rsidR="00410441" w:rsidRPr="0043265D">
        <w:rPr>
          <w:rFonts w:cstheme="minorHAnsi"/>
        </w:rPr>
        <w:t xml:space="preserve"> </w:t>
      </w:r>
      <w:r w:rsidR="00C06782" w:rsidRPr="0043265D">
        <w:rPr>
          <w:rFonts w:cstheme="minorHAnsi"/>
        </w:rPr>
        <w:t xml:space="preserve">sono intese </w:t>
      </w:r>
      <w:r w:rsidR="00410441" w:rsidRPr="0043265D">
        <w:rPr>
          <w:rFonts w:cstheme="minorHAnsi"/>
        </w:rPr>
        <w:t xml:space="preserve">prioritariamente come occasioni di orientamento trasversale, come </w:t>
      </w:r>
      <w:r w:rsidR="00410441" w:rsidRPr="008E62C4">
        <w:rPr>
          <w:rFonts w:cstheme="minorHAnsi"/>
        </w:rPr>
        <w:t xml:space="preserve">stimolo di </w:t>
      </w:r>
      <w:r w:rsidR="00410441" w:rsidRPr="008E62C4">
        <w:rPr>
          <w:rFonts w:cstheme="minorHAnsi"/>
        </w:rPr>
        <w:lastRenderedPageBreak/>
        <w:t>esplorazione del contesto e di sé, non già come prefigurazione del proprio futuro</w:t>
      </w:r>
      <w:r w:rsidR="00410441" w:rsidRPr="0043265D">
        <w:rPr>
          <w:rFonts w:cstheme="minorHAnsi"/>
        </w:rPr>
        <w:t xml:space="preserve"> lavorativo</w:t>
      </w:r>
      <w:r w:rsidR="00C42ED4" w:rsidRPr="0043265D">
        <w:rPr>
          <w:rFonts w:cstheme="minorHAnsi"/>
        </w:rPr>
        <w:t xml:space="preserve">. </w:t>
      </w:r>
      <w:r w:rsidR="003402ED" w:rsidRPr="0043265D">
        <w:rPr>
          <w:rFonts w:cstheme="minorHAnsi"/>
        </w:rPr>
        <w:t xml:space="preserve">Il processo di orientamento necessita di </w:t>
      </w:r>
      <w:r w:rsidR="00485CBE" w:rsidRPr="0043265D">
        <w:rPr>
          <w:rFonts w:cstheme="minorHAnsi"/>
        </w:rPr>
        <w:t>idonei</w:t>
      </w:r>
      <w:r w:rsidR="00CC2335" w:rsidRPr="0043265D">
        <w:rPr>
          <w:rFonts w:cstheme="minorHAnsi"/>
        </w:rPr>
        <w:t xml:space="preserve"> spazi </w:t>
      </w:r>
      <w:r w:rsidR="00A47EC2" w:rsidRPr="0043265D">
        <w:rPr>
          <w:rFonts w:cstheme="minorHAnsi"/>
        </w:rPr>
        <w:t xml:space="preserve">educativi </w:t>
      </w:r>
      <w:r w:rsidR="00CC2335" w:rsidRPr="0043265D">
        <w:rPr>
          <w:rFonts w:cstheme="minorHAnsi"/>
        </w:rPr>
        <w:t xml:space="preserve">di rielaborazione </w:t>
      </w:r>
      <w:r w:rsidR="003402ED" w:rsidRPr="0043265D">
        <w:rPr>
          <w:rFonts w:cstheme="minorHAnsi"/>
        </w:rPr>
        <w:t>delle informazioni e delle esperienze</w:t>
      </w:r>
      <w:r w:rsidR="0041601F" w:rsidRPr="0043265D">
        <w:rPr>
          <w:rFonts w:cstheme="minorHAnsi"/>
        </w:rPr>
        <w:t xml:space="preserve">, </w:t>
      </w:r>
      <w:r w:rsidR="007A05CB" w:rsidRPr="0043265D">
        <w:rPr>
          <w:rFonts w:cstheme="minorHAnsi"/>
        </w:rPr>
        <w:t xml:space="preserve">capaci di </w:t>
      </w:r>
      <w:r w:rsidR="00C60E89" w:rsidRPr="0043265D">
        <w:rPr>
          <w:rFonts w:cstheme="minorHAnsi"/>
        </w:rPr>
        <w:t>restituire</w:t>
      </w:r>
      <w:r w:rsidR="0081534D" w:rsidRPr="0043265D">
        <w:rPr>
          <w:rFonts w:cstheme="minorHAnsi"/>
        </w:rPr>
        <w:t xml:space="preserve"> e comprendere</w:t>
      </w:r>
      <w:r w:rsidR="00C60E89" w:rsidRPr="0043265D">
        <w:rPr>
          <w:rFonts w:cstheme="minorHAnsi"/>
        </w:rPr>
        <w:t xml:space="preserve"> la complessità</w:t>
      </w:r>
      <w:r w:rsidR="00634FA0" w:rsidRPr="0043265D">
        <w:rPr>
          <w:rFonts w:cstheme="minorHAnsi"/>
        </w:rPr>
        <w:t>, di accogliere l’incertezza</w:t>
      </w:r>
      <w:r w:rsidR="003C3B9A" w:rsidRPr="0043265D">
        <w:rPr>
          <w:rFonts w:cstheme="minorHAnsi"/>
        </w:rPr>
        <w:t>, di esplicitare risorse, competenze</w:t>
      </w:r>
      <w:r w:rsidR="00B95D93" w:rsidRPr="0043265D">
        <w:rPr>
          <w:rFonts w:cstheme="minorHAnsi"/>
        </w:rPr>
        <w:t>, interessi, valori</w:t>
      </w:r>
      <w:r w:rsidR="00CD061B" w:rsidRPr="0043265D">
        <w:rPr>
          <w:rFonts w:cstheme="minorHAnsi"/>
        </w:rPr>
        <w:t xml:space="preserve">, sempre in un’ottica di </w:t>
      </w:r>
      <w:r w:rsidR="00C60E89" w:rsidRPr="0043265D">
        <w:rPr>
          <w:rFonts w:cstheme="minorHAnsi"/>
        </w:rPr>
        <w:t>amplia</w:t>
      </w:r>
      <w:r w:rsidR="00CD061B" w:rsidRPr="0043265D">
        <w:rPr>
          <w:rFonts w:cstheme="minorHAnsi"/>
        </w:rPr>
        <w:t>mento della curiosità</w:t>
      </w:r>
      <w:r w:rsidR="007478CC" w:rsidRPr="0043265D">
        <w:rPr>
          <w:rFonts w:cstheme="minorHAnsi"/>
        </w:rPr>
        <w:t xml:space="preserve"> e</w:t>
      </w:r>
      <w:r w:rsidR="00C60E89" w:rsidRPr="0043265D">
        <w:rPr>
          <w:rFonts w:cstheme="minorHAnsi"/>
        </w:rPr>
        <w:t xml:space="preserve"> </w:t>
      </w:r>
      <w:r w:rsidR="007478CC" w:rsidRPr="0043265D">
        <w:rPr>
          <w:rFonts w:cstheme="minorHAnsi"/>
        </w:rPr>
        <w:t>de</w:t>
      </w:r>
      <w:r w:rsidR="00C60E89" w:rsidRPr="0043265D">
        <w:rPr>
          <w:rFonts w:cstheme="minorHAnsi"/>
        </w:rPr>
        <w:t>gli orizzonti del possibile di cias</w:t>
      </w:r>
      <w:r w:rsidR="007478CC" w:rsidRPr="0043265D">
        <w:rPr>
          <w:rFonts w:cstheme="minorHAnsi"/>
        </w:rPr>
        <w:t xml:space="preserve">cuna e di ciascuno. </w:t>
      </w:r>
    </w:p>
    <w:p w14:paraId="69AA6F43" w14:textId="3BA0B66C" w:rsidR="00DC01F8" w:rsidRPr="00D9241F" w:rsidRDefault="00DC01F8" w:rsidP="00656DA6">
      <w:pPr>
        <w:jc w:val="both"/>
        <w:rPr>
          <w:rFonts w:cstheme="minorHAnsi"/>
          <w:sz w:val="24"/>
          <w:szCs w:val="24"/>
        </w:rPr>
      </w:pPr>
    </w:p>
    <w:p w14:paraId="15AE1C39" w14:textId="31D8F1E0" w:rsidR="007A2140" w:rsidRPr="00D9241F" w:rsidRDefault="002A0549" w:rsidP="00406877">
      <w:pPr>
        <w:pStyle w:val="Paragrafoelenco"/>
        <w:numPr>
          <w:ilvl w:val="0"/>
          <w:numId w:val="3"/>
        </w:numPr>
        <w:ind w:left="714" w:hanging="357"/>
        <w:jc w:val="both"/>
        <w:rPr>
          <w:rFonts w:eastAsia="Times New Roman" w:cstheme="minorHAnsi"/>
          <w:lang w:eastAsia="it-IT"/>
        </w:rPr>
      </w:pPr>
      <w:r w:rsidRPr="00D9241F">
        <w:rPr>
          <w:rFonts w:cstheme="minorHAnsi"/>
        </w:rPr>
        <w:t>I modelli di orientamento scolastico e professionale di matrice ecologico-sistemica</w:t>
      </w:r>
      <w:r w:rsidR="00172D96" w:rsidRPr="00D9241F">
        <w:rPr>
          <w:rFonts w:cstheme="minorHAnsi"/>
        </w:rPr>
        <w:t xml:space="preserve">, </w:t>
      </w:r>
      <w:r w:rsidR="00F55498" w:rsidRPr="00D9241F">
        <w:rPr>
          <w:rFonts w:cstheme="minorHAnsi"/>
        </w:rPr>
        <w:t xml:space="preserve">come il </w:t>
      </w:r>
      <w:r w:rsidR="00F55498" w:rsidRPr="001B2D0E">
        <w:rPr>
          <w:rFonts w:cstheme="minorHAnsi"/>
          <w:i/>
          <w:iCs/>
        </w:rPr>
        <w:t>Life Design</w:t>
      </w:r>
      <w:r w:rsidR="00F55498" w:rsidRPr="00D9241F">
        <w:rPr>
          <w:rFonts w:cstheme="minorHAnsi"/>
        </w:rPr>
        <w:t xml:space="preserve"> </w:t>
      </w:r>
      <w:r w:rsidR="00C12F6E" w:rsidRPr="00D9241F">
        <w:rPr>
          <w:rFonts w:eastAsia="Times New Roman" w:cstheme="minorHAnsi"/>
          <w:lang w:eastAsia="it-IT"/>
        </w:rPr>
        <w:t>(Savickas et al.</w:t>
      </w:r>
      <w:r w:rsidR="008E62C4">
        <w:rPr>
          <w:rFonts w:eastAsia="Times New Roman" w:cstheme="minorHAnsi"/>
          <w:lang w:eastAsia="it-IT"/>
        </w:rPr>
        <w:t xml:space="preserve">, </w:t>
      </w:r>
      <w:r w:rsidR="00C12F6E" w:rsidRPr="00D9241F">
        <w:rPr>
          <w:rFonts w:eastAsia="Times New Roman" w:cstheme="minorHAnsi"/>
          <w:lang w:eastAsia="it-IT"/>
        </w:rPr>
        <w:t>2009)</w:t>
      </w:r>
      <w:r w:rsidR="00172D96" w:rsidRPr="00D9241F">
        <w:rPr>
          <w:rFonts w:eastAsia="Times New Roman" w:cstheme="minorHAnsi"/>
          <w:lang w:eastAsia="it-IT"/>
        </w:rPr>
        <w:t xml:space="preserve"> </w:t>
      </w:r>
      <w:r w:rsidR="00331793" w:rsidRPr="00D9241F">
        <w:rPr>
          <w:rFonts w:eastAsia="Times New Roman" w:cstheme="minorHAnsi"/>
          <w:lang w:eastAsia="it-IT"/>
        </w:rPr>
        <w:t xml:space="preserve">ampliano la progettualità </w:t>
      </w:r>
      <w:r w:rsidR="00C3530C" w:rsidRPr="00D9241F">
        <w:rPr>
          <w:rFonts w:eastAsia="Times New Roman" w:cstheme="minorHAnsi"/>
          <w:lang w:eastAsia="it-IT"/>
        </w:rPr>
        <w:t xml:space="preserve">delle persone </w:t>
      </w:r>
      <w:r w:rsidR="00331793" w:rsidRPr="00D9241F">
        <w:rPr>
          <w:rFonts w:eastAsia="Times New Roman" w:cstheme="minorHAnsi"/>
          <w:lang w:eastAsia="it-IT"/>
        </w:rPr>
        <w:t xml:space="preserve">e </w:t>
      </w:r>
      <w:r w:rsidR="00A008A8" w:rsidRPr="00D9241F">
        <w:rPr>
          <w:rFonts w:eastAsia="Times New Roman" w:cstheme="minorHAnsi"/>
          <w:lang w:eastAsia="it-IT"/>
        </w:rPr>
        <w:t xml:space="preserve">consentono </w:t>
      </w:r>
      <w:r w:rsidR="0080179B" w:rsidRPr="00D9241F">
        <w:rPr>
          <w:rFonts w:eastAsia="Times New Roman" w:cstheme="minorHAnsi"/>
          <w:lang w:eastAsia="it-IT"/>
        </w:rPr>
        <w:t xml:space="preserve">di andare oltre la </w:t>
      </w:r>
      <w:r w:rsidR="009C6E9D" w:rsidRPr="00D9241F">
        <w:rPr>
          <w:rFonts w:cstheme="minorHAnsi"/>
        </w:rPr>
        <w:t xml:space="preserve">ricerca di profili psicoattitudinali e di bilanci di competenze, </w:t>
      </w:r>
      <w:r w:rsidR="008E2D2E" w:rsidRPr="00D9241F">
        <w:rPr>
          <w:rFonts w:eastAsia="Times New Roman" w:cstheme="minorHAnsi"/>
          <w:lang w:eastAsia="it-IT"/>
        </w:rPr>
        <w:t>efficac</w:t>
      </w:r>
      <w:r w:rsidR="00405E5B" w:rsidRPr="00D9241F">
        <w:rPr>
          <w:rFonts w:eastAsia="Times New Roman" w:cstheme="minorHAnsi"/>
          <w:lang w:eastAsia="it-IT"/>
        </w:rPr>
        <w:t>i</w:t>
      </w:r>
      <w:r w:rsidR="008E2D2E" w:rsidRPr="00D9241F">
        <w:rPr>
          <w:rFonts w:eastAsia="Times New Roman" w:cstheme="minorHAnsi"/>
          <w:lang w:eastAsia="it-IT"/>
        </w:rPr>
        <w:t xml:space="preserve"> solo se la persona e l'ambiente sono stabili e prevedibili</w:t>
      </w:r>
      <w:r w:rsidR="00405E5B" w:rsidRPr="00D9241F">
        <w:rPr>
          <w:rFonts w:eastAsia="Times New Roman" w:cstheme="minorHAnsi"/>
          <w:lang w:eastAsia="it-IT"/>
        </w:rPr>
        <w:t xml:space="preserve"> </w:t>
      </w:r>
      <w:r w:rsidR="00777164" w:rsidRPr="00D9241F">
        <w:rPr>
          <w:rFonts w:eastAsia="Times New Roman" w:cstheme="minorHAnsi"/>
          <w:lang w:eastAsia="it-IT"/>
        </w:rPr>
        <w:t>(Nye, Up, Rounds e Drasgow, 2012)</w:t>
      </w:r>
      <w:r w:rsidR="00331793" w:rsidRPr="00D9241F">
        <w:rPr>
          <w:rFonts w:eastAsia="Times New Roman" w:cstheme="minorHAnsi"/>
          <w:lang w:eastAsia="it-IT"/>
        </w:rPr>
        <w:t>.</w:t>
      </w:r>
      <w:r w:rsidR="00EA73EB" w:rsidRPr="00D9241F">
        <w:rPr>
          <w:rFonts w:eastAsia="Times New Roman" w:cstheme="minorHAnsi"/>
          <w:lang w:eastAsia="it-IT"/>
        </w:rPr>
        <w:t xml:space="preserve"> </w:t>
      </w:r>
      <w:r w:rsidR="00BC168D" w:rsidRPr="00D9241F">
        <w:rPr>
          <w:rFonts w:eastAsia="Times New Roman" w:cstheme="minorHAnsi"/>
          <w:lang w:eastAsia="it-IT"/>
        </w:rPr>
        <w:t xml:space="preserve">La scuola può </w:t>
      </w:r>
      <w:r w:rsidR="00D4699D" w:rsidRPr="00D9241F">
        <w:rPr>
          <w:rFonts w:eastAsia="Times New Roman" w:cstheme="minorHAnsi"/>
          <w:lang w:eastAsia="it-IT"/>
        </w:rPr>
        <w:t xml:space="preserve">promuovere </w:t>
      </w:r>
      <w:r w:rsidR="00D4699D" w:rsidRPr="00D9241F">
        <w:rPr>
          <w:rFonts w:cstheme="minorHAnsi"/>
        </w:rPr>
        <w:t>le competenze di orientamento e di auto orientamento degli studenti e delle studentesse</w:t>
      </w:r>
      <w:r w:rsidR="00730A21" w:rsidRPr="00D9241F">
        <w:rPr>
          <w:rFonts w:cstheme="minorHAnsi"/>
        </w:rPr>
        <w:t xml:space="preserve"> nella propria azione educativa ordinaria</w:t>
      </w:r>
      <w:r w:rsidR="003A221C" w:rsidRPr="00D9241F">
        <w:rPr>
          <w:rFonts w:cstheme="minorHAnsi"/>
        </w:rPr>
        <w:t xml:space="preserve">, offrendo opportunità di sviluppo di competenze trasversali </w:t>
      </w:r>
      <w:r w:rsidR="00526A21" w:rsidRPr="00D9241F">
        <w:rPr>
          <w:rFonts w:cstheme="minorHAnsi"/>
        </w:rPr>
        <w:t>e di autovalutazione dei processi e degli esiti</w:t>
      </w:r>
      <w:r w:rsidR="002F13F3" w:rsidRPr="00D9241F">
        <w:rPr>
          <w:rFonts w:cstheme="minorHAnsi"/>
        </w:rPr>
        <w:t xml:space="preserve">, come pure nell’allestimento di </w:t>
      </w:r>
      <w:r w:rsidR="00386F69" w:rsidRPr="00D9241F">
        <w:rPr>
          <w:rFonts w:cstheme="minorHAnsi"/>
        </w:rPr>
        <w:t xml:space="preserve">progetti </w:t>
      </w:r>
      <w:r w:rsidR="003101EF" w:rsidRPr="00D9241F">
        <w:rPr>
          <w:rFonts w:cstheme="minorHAnsi"/>
        </w:rPr>
        <w:t xml:space="preserve">specifici </w:t>
      </w:r>
      <w:r w:rsidR="00730A21" w:rsidRPr="00D9241F">
        <w:rPr>
          <w:rFonts w:cstheme="minorHAnsi"/>
        </w:rPr>
        <w:t xml:space="preserve"> </w:t>
      </w:r>
      <w:r w:rsidR="007A2140" w:rsidRPr="00D9241F">
        <w:rPr>
          <w:rFonts w:cstheme="minorHAnsi"/>
        </w:rPr>
        <w:t xml:space="preserve">che tengano conto dei rapidi cambiamenti nel mondo del lavoro e </w:t>
      </w:r>
      <w:r w:rsidR="00A878B1" w:rsidRPr="00D9241F">
        <w:rPr>
          <w:rFonts w:cstheme="minorHAnsi"/>
        </w:rPr>
        <w:t>delle</w:t>
      </w:r>
      <w:r w:rsidR="007A2140" w:rsidRPr="00D9241F">
        <w:rPr>
          <w:rFonts w:eastAsia="Times New Roman" w:cstheme="minorHAnsi"/>
          <w:lang w:eastAsia="it-IT"/>
        </w:rPr>
        <w:t xml:space="preserve"> variabili che </w:t>
      </w:r>
      <w:r w:rsidR="00A878B1" w:rsidRPr="00D9241F">
        <w:rPr>
          <w:rFonts w:eastAsia="Times New Roman" w:cstheme="minorHAnsi"/>
          <w:lang w:eastAsia="it-IT"/>
        </w:rPr>
        <w:t xml:space="preserve">attualmente </w:t>
      </w:r>
      <w:r w:rsidR="007A2140" w:rsidRPr="00D9241F">
        <w:rPr>
          <w:rFonts w:eastAsia="Times New Roman" w:cstheme="minorHAnsi"/>
          <w:lang w:eastAsia="it-IT"/>
        </w:rPr>
        <w:t xml:space="preserve">svolgono un ruolo </w:t>
      </w:r>
      <w:r w:rsidR="00A878B1" w:rsidRPr="00D9241F">
        <w:rPr>
          <w:rFonts w:eastAsia="Times New Roman" w:cstheme="minorHAnsi"/>
          <w:lang w:eastAsia="it-IT"/>
        </w:rPr>
        <w:t>fondamentale</w:t>
      </w:r>
      <w:r w:rsidR="007A2140" w:rsidRPr="00D9241F">
        <w:rPr>
          <w:rFonts w:eastAsia="Times New Roman" w:cstheme="minorHAnsi"/>
          <w:lang w:eastAsia="it-IT"/>
        </w:rPr>
        <w:t xml:space="preserve"> nella realizzazione professionale, un'identità di carriera sostenibile e un inserimento lavorativo di successo. Queste variabili includono: Career Adptability - prontezza professionale - (Savickas, 2005; 2007; Savickas et al., 2009; Soresi, Nota &amp; Ferrari, 2012), Orientamento futuro (Stoddard, Zimmerman &amp; Bauermeinstor, 2011), Auto-efficacia (Steca et al., in revisione), Resilienza (Richardson, 2002), Speranza (Snyder et al., 1991; Snyder, 2000; Snyder et al., 2002), Ottimismo (Anolli, 2005; Delle Fave, 2007; Meazzini, 2007) e Coraggio (Sovet, Annovazzi, Ginevra, Kalliris &amp; Lodi, 2017)</w:t>
      </w:r>
      <w:r w:rsidR="00A008E4" w:rsidRPr="00D9241F">
        <w:rPr>
          <w:rFonts w:eastAsia="Times New Roman" w:cstheme="minorHAnsi"/>
          <w:lang w:eastAsia="it-IT"/>
        </w:rPr>
        <w:t xml:space="preserve"> e possono essere trattate didatticamente attraverso opportuni strumenti e </w:t>
      </w:r>
      <w:r w:rsidR="00943F29" w:rsidRPr="00D9241F">
        <w:rPr>
          <w:rFonts w:eastAsia="Times New Roman" w:cstheme="minorHAnsi"/>
          <w:lang w:eastAsia="it-IT"/>
        </w:rPr>
        <w:t xml:space="preserve">tecniche. </w:t>
      </w:r>
    </w:p>
    <w:p w14:paraId="4A5D86E3" w14:textId="75E526F8" w:rsidR="00A97C41" w:rsidRPr="00D9241F" w:rsidRDefault="00A97C41" w:rsidP="001B2FB3">
      <w:pPr>
        <w:spacing w:after="0"/>
        <w:jc w:val="both"/>
        <w:rPr>
          <w:rFonts w:eastAsia="Times New Roman" w:cstheme="minorHAnsi"/>
          <w:sz w:val="24"/>
          <w:szCs w:val="24"/>
          <w:lang w:eastAsia="it-IT"/>
        </w:rPr>
      </w:pPr>
    </w:p>
    <w:p w14:paraId="2315920C" w14:textId="6678C42C" w:rsidR="00A12EC7" w:rsidRDefault="00FC2306" w:rsidP="00406877">
      <w:pPr>
        <w:pStyle w:val="Paragrafoelenco"/>
        <w:numPr>
          <w:ilvl w:val="0"/>
          <w:numId w:val="3"/>
        </w:numPr>
        <w:ind w:left="714" w:hanging="357"/>
        <w:jc w:val="both"/>
        <w:rPr>
          <w:rFonts w:cstheme="minorHAnsi"/>
        </w:rPr>
      </w:pPr>
      <w:r w:rsidRPr="00D9241F">
        <w:rPr>
          <w:rFonts w:cstheme="minorHAnsi"/>
        </w:rPr>
        <w:t>L’</w:t>
      </w:r>
      <w:r w:rsidR="004219FF" w:rsidRPr="00D9241F">
        <w:rPr>
          <w:rFonts w:cstheme="minorHAnsi"/>
        </w:rPr>
        <w:t xml:space="preserve">ambiente di apprendimento </w:t>
      </w:r>
      <w:r w:rsidR="00BD17FF" w:rsidRPr="00D9241F">
        <w:rPr>
          <w:rFonts w:cstheme="minorHAnsi"/>
        </w:rPr>
        <w:t xml:space="preserve">è </w:t>
      </w:r>
      <w:r w:rsidRPr="00D9241F">
        <w:rPr>
          <w:rFonts w:cstheme="minorHAnsi"/>
        </w:rPr>
        <w:t>un fattore rilevante per il successo formativo</w:t>
      </w:r>
      <w:r w:rsidR="00C75437" w:rsidRPr="00D9241F">
        <w:rPr>
          <w:rFonts w:cstheme="minorHAnsi"/>
        </w:rPr>
        <w:t xml:space="preserve">. </w:t>
      </w:r>
      <w:r w:rsidR="004C1082" w:rsidRPr="00D9241F">
        <w:rPr>
          <w:rFonts w:cstheme="minorHAnsi"/>
        </w:rPr>
        <w:t xml:space="preserve">La necessaria </w:t>
      </w:r>
      <w:r w:rsidR="002860DE" w:rsidRPr="00D9241F">
        <w:rPr>
          <w:rFonts w:cstheme="minorHAnsi"/>
        </w:rPr>
        <w:t>attenzione alle variabili personali e relazionali</w:t>
      </w:r>
      <w:r w:rsidR="008205DC">
        <w:rPr>
          <w:rFonts w:cstheme="minorHAnsi"/>
        </w:rPr>
        <w:t>;</w:t>
      </w:r>
      <w:r w:rsidR="00B33EB9" w:rsidRPr="00D9241F">
        <w:rPr>
          <w:rFonts w:cstheme="minorHAnsi"/>
        </w:rPr>
        <w:t xml:space="preserve"> </w:t>
      </w:r>
      <w:r w:rsidR="00CB05CE" w:rsidRPr="00D9241F">
        <w:rPr>
          <w:rFonts w:eastAsia="Times New Roman" w:cstheme="minorHAnsi"/>
          <w:lang w:eastAsia="it-IT"/>
        </w:rPr>
        <w:t>al clima di classe</w:t>
      </w:r>
      <w:r w:rsidR="008205DC">
        <w:rPr>
          <w:rFonts w:eastAsia="Times New Roman" w:cstheme="minorHAnsi"/>
          <w:lang w:eastAsia="it-IT"/>
        </w:rPr>
        <w:t>;</w:t>
      </w:r>
      <w:r w:rsidR="00CB05CE" w:rsidRPr="00D9241F">
        <w:rPr>
          <w:rFonts w:eastAsia="Times New Roman" w:cstheme="minorHAnsi"/>
          <w:lang w:eastAsia="it-IT"/>
        </w:rPr>
        <w:t xml:space="preserve"> alle appartenenze e alle culture dei contesti di vita</w:t>
      </w:r>
      <w:r w:rsidR="008205DC">
        <w:rPr>
          <w:rFonts w:eastAsia="Times New Roman" w:cstheme="minorHAnsi"/>
          <w:lang w:eastAsia="it-IT"/>
        </w:rPr>
        <w:t>;</w:t>
      </w:r>
      <w:r w:rsidR="00CB05CE" w:rsidRPr="00D9241F">
        <w:rPr>
          <w:rFonts w:cstheme="minorHAnsi"/>
        </w:rPr>
        <w:t xml:space="preserve"> </w:t>
      </w:r>
      <w:r w:rsidR="004124A3" w:rsidRPr="00D9241F">
        <w:rPr>
          <w:rFonts w:cstheme="minorHAnsi"/>
        </w:rPr>
        <w:t>al</w:t>
      </w:r>
      <w:r w:rsidR="00B33EB9" w:rsidRPr="00D9241F">
        <w:rPr>
          <w:rFonts w:cstheme="minorHAnsi"/>
        </w:rPr>
        <w:t>la promozione del benessere</w:t>
      </w:r>
      <w:r w:rsidR="006B1FC3" w:rsidRPr="00D9241F">
        <w:rPr>
          <w:rFonts w:cstheme="minorHAnsi"/>
        </w:rPr>
        <w:t>,</w:t>
      </w:r>
      <w:r w:rsidR="00B33EB9" w:rsidRPr="00D9241F">
        <w:rPr>
          <w:rFonts w:cstheme="minorHAnsi"/>
        </w:rPr>
        <w:t xml:space="preserve"> </w:t>
      </w:r>
      <w:r w:rsidR="00CD3908" w:rsidRPr="00D9241F">
        <w:rPr>
          <w:rFonts w:cstheme="minorHAnsi"/>
        </w:rPr>
        <w:t>del</w:t>
      </w:r>
      <w:r w:rsidR="00CD3908" w:rsidRPr="00D9241F">
        <w:rPr>
          <w:rFonts w:eastAsia="Times New Roman" w:cstheme="minorHAnsi"/>
          <w:lang w:eastAsia="it-IT"/>
        </w:rPr>
        <w:t xml:space="preserve">l'autodeterminazione, del senso di autoefficacia, </w:t>
      </w:r>
      <w:r w:rsidR="004124A3" w:rsidRPr="00D9241F">
        <w:rPr>
          <w:rFonts w:eastAsia="Times New Roman" w:cstheme="minorHAnsi"/>
          <w:lang w:eastAsia="it-IT"/>
        </w:rPr>
        <w:t>del</w:t>
      </w:r>
      <w:r w:rsidR="00CD3908" w:rsidRPr="00D9241F">
        <w:rPr>
          <w:rFonts w:eastAsia="Times New Roman" w:cstheme="minorHAnsi"/>
          <w:lang w:eastAsia="it-IT"/>
        </w:rPr>
        <w:t>la speranza</w:t>
      </w:r>
      <w:r w:rsidR="00293CCE">
        <w:rPr>
          <w:rFonts w:eastAsia="Times New Roman" w:cstheme="minorHAnsi"/>
          <w:lang w:eastAsia="it-IT"/>
        </w:rPr>
        <w:t xml:space="preserve"> e</w:t>
      </w:r>
      <w:r w:rsidR="00CD3908" w:rsidRPr="00D9241F">
        <w:rPr>
          <w:rFonts w:eastAsia="Times New Roman" w:cstheme="minorHAnsi"/>
          <w:lang w:eastAsia="it-IT"/>
        </w:rPr>
        <w:t xml:space="preserve"> </w:t>
      </w:r>
      <w:r w:rsidR="004124A3" w:rsidRPr="00D9241F">
        <w:rPr>
          <w:rFonts w:eastAsia="Times New Roman" w:cstheme="minorHAnsi"/>
          <w:lang w:eastAsia="it-IT"/>
        </w:rPr>
        <w:t>del</w:t>
      </w:r>
      <w:r w:rsidR="00CD3908" w:rsidRPr="00D9241F">
        <w:rPr>
          <w:rFonts w:eastAsia="Times New Roman" w:cstheme="minorHAnsi"/>
          <w:lang w:eastAsia="it-IT"/>
        </w:rPr>
        <w:t>la resilienz</w:t>
      </w:r>
      <w:r w:rsidR="006B1FC3" w:rsidRPr="00D9241F">
        <w:rPr>
          <w:rFonts w:eastAsia="Times New Roman" w:cstheme="minorHAnsi"/>
          <w:lang w:eastAsia="it-IT"/>
        </w:rPr>
        <w:t>a</w:t>
      </w:r>
      <w:r w:rsidR="003C2345" w:rsidRPr="00D9241F">
        <w:rPr>
          <w:rFonts w:eastAsia="Times New Roman" w:cstheme="minorHAnsi"/>
          <w:lang w:eastAsia="it-IT"/>
        </w:rPr>
        <w:t xml:space="preserve"> </w:t>
      </w:r>
      <w:r w:rsidR="00C75437" w:rsidRPr="00D9241F">
        <w:rPr>
          <w:rFonts w:eastAsia="Times New Roman" w:cstheme="minorHAnsi"/>
          <w:lang w:eastAsia="it-IT"/>
        </w:rPr>
        <w:t xml:space="preserve">si </w:t>
      </w:r>
      <w:r w:rsidR="006127C5" w:rsidRPr="00D9241F">
        <w:rPr>
          <w:rFonts w:eastAsia="Times New Roman" w:cstheme="minorHAnsi"/>
          <w:lang w:eastAsia="it-IT"/>
        </w:rPr>
        <w:t xml:space="preserve">esplica </w:t>
      </w:r>
      <w:r w:rsidR="007E68B9" w:rsidRPr="00293CCE">
        <w:rPr>
          <w:rFonts w:eastAsia="Times New Roman" w:cstheme="minorHAnsi"/>
          <w:i/>
          <w:iCs/>
          <w:lang w:eastAsia="it-IT"/>
        </w:rPr>
        <w:t xml:space="preserve">all’interno </w:t>
      </w:r>
      <w:r w:rsidR="007E68B9" w:rsidRPr="00D9241F">
        <w:rPr>
          <w:rFonts w:eastAsia="Times New Roman" w:cstheme="minorHAnsi"/>
          <w:lang w:eastAsia="it-IT"/>
        </w:rPr>
        <w:t>dei processi di insegnamento-apprendimento</w:t>
      </w:r>
      <w:r w:rsidR="001C53F0" w:rsidRPr="00D9241F">
        <w:rPr>
          <w:rFonts w:eastAsia="Times New Roman" w:cstheme="minorHAnsi"/>
          <w:lang w:eastAsia="it-IT"/>
        </w:rPr>
        <w:t xml:space="preserve"> e</w:t>
      </w:r>
      <w:r w:rsidR="007E68B9" w:rsidRPr="00D9241F">
        <w:rPr>
          <w:rFonts w:eastAsia="Times New Roman" w:cstheme="minorHAnsi"/>
          <w:lang w:eastAsia="it-IT"/>
        </w:rPr>
        <w:t xml:space="preserve"> </w:t>
      </w:r>
      <w:r w:rsidR="008E2217" w:rsidRPr="00D9241F">
        <w:rPr>
          <w:rFonts w:eastAsia="Times New Roman" w:cstheme="minorHAnsi"/>
          <w:lang w:eastAsia="it-IT"/>
        </w:rPr>
        <w:t xml:space="preserve">trova </w:t>
      </w:r>
      <w:r w:rsidR="00EB31BC" w:rsidRPr="00D9241F">
        <w:rPr>
          <w:rFonts w:eastAsia="Times New Roman" w:cstheme="minorHAnsi"/>
          <w:lang w:eastAsia="it-IT"/>
        </w:rPr>
        <w:t xml:space="preserve">opportuna traduzione didattica </w:t>
      </w:r>
      <w:r w:rsidR="00496E69" w:rsidRPr="00D9241F">
        <w:rPr>
          <w:rFonts w:cstheme="minorHAnsi"/>
        </w:rPr>
        <w:t xml:space="preserve">nella costruzione </w:t>
      </w:r>
      <w:r w:rsidR="00032F0F" w:rsidRPr="00293CCE">
        <w:rPr>
          <w:rFonts w:cstheme="minorHAnsi"/>
          <w:i/>
          <w:iCs/>
        </w:rPr>
        <w:t xml:space="preserve">sistematica </w:t>
      </w:r>
      <w:r w:rsidR="00496E69" w:rsidRPr="00D9241F">
        <w:rPr>
          <w:rFonts w:cstheme="minorHAnsi"/>
        </w:rPr>
        <w:t xml:space="preserve">di ambienti di apprendimento </w:t>
      </w:r>
      <w:r w:rsidR="00DB6CBF" w:rsidRPr="00D9241F">
        <w:rPr>
          <w:rFonts w:cstheme="minorHAnsi"/>
        </w:rPr>
        <w:t>di qualità</w:t>
      </w:r>
      <w:r w:rsidR="00831692" w:rsidRPr="00D9241F">
        <w:rPr>
          <w:rFonts w:cstheme="minorHAnsi"/>
        </w:rPr>
        <w:t xml:space="preserve"> per </w:t>
      </w:r>
      <w:r w:rsidR="00831692" w:rsidRPr="00293CCE">
        <w:rPr>
          <w:rFonts w:cstheme="minorHAnsi"/>
          <w:i/>
          <w:iCs/>
        </w:rPr>
        <w:t>tutte</w:t>
      </w:r>
      <w:r w:rsidR="00831692" w:rsidRPr="00D9241F">
        <w:rPr>
          <w:rFonts w:cstheme="minorHAnsi"/>
        </w:rPr>
        <w:t xml:space="preserve"> le attività formative</w:t>
      </w:r>
      <w:r w:rsidR="00C578D7" w:rsidRPr="00D9241F">
        <w:rPr>
          <w:rFonts w:cstheme="minorHAnsi"/>
        </w:rPr>
        <w:t xml:space="preserve"> quotidiane</w:t>
      </w:r>
      <w:r w:rsidR="00831692" w:rsidRPr="00D9241F">
        <w:rPr>
          <w:rFonts w:cstheme="minorHAnsi"/>
        </w:rPr>
        <w:t xml:space="preserve"> (disciplinari e inter-trans</w:t>
      </w:r>
      <w:r w:rsidR="00402905" w:rsidRPr="00D9241F">
        <w:rPr>
          <w:rFonts w:cstheme="minorHAnsi"/>
        </w:rPr>
        <w:t>disciplinari</w:t>
      </w:r>
      <w:r w:rsidR="00D163AC" w:rsidRPr="00D9241F">
        <w:rPr>
          <w:rFonts w:cstheme="minorHAnsi"/>
        </w:rPr>
        <w:t>, interne ed esterne alla scuola</w:t>
      </w:r>
      <w:r w:rsidR="00402905" w:rsidRPr="00D9241F">
        <w:rPr>
          <w:rFonts w:cstheme="minorHAnsi"/>
        </w:rPr>
        <w:t>)</w:t>
      </w:r>
      <w:r w:rsidR="003F5424" w:rsidRPr="00D9241F">
        <w:rPr>
          <w:rFonts w:cstheme="minorHAnsi"/>
        </w:rPr>
        <w:t xml:space="preserve">. </w:t>
      </w:r>
    </w:p>
    <w:p w14:paraId="4E96A576" w14:textId="77777777" w:rsidR="002F01AD" w:rsidRPr="002F01AD" w:rsidRDefault="002F01AD" w:rsidP="002F01AD">
      <w:pPr>
        <w:pStyle w:val="Paragrafoelenco"/>
        <w:rPr>
          <w:rFonts w:cstheme="minorHAnsi"/>
        </w:rPr>
      </w:pPr>
    </w:p>
    <w:p w14:paraId="335B3F42" w14:textId="77777777" w:rsidR="002F01AD" w:rsidRPr="00D9241F" w:rsidRDefault="002F01AD" w:rsidP="002F01AD">
      <w:pPr>
        <w:pStyle w:val="Paragrafoelenco"/>
        <w:jc w:val="both"/>
        <w:rPr>
          <w:rFonts w:cstheme="minorHAnsi"/>
        </w:rPr>
      </w:pPr>
    </w:p>
    <w:p w14:paraId="05DA905F" w14:textId="22CE163C" w:rsidR="005811BE" w:rsidRDefault="00BD53AE" w:rsidP="00D9241F">
      <w:pPr>
        <w:pStyle w:val="Paragrafoelenco"/>
        <w:numPr>
          <w:ilvl w:val="0"/>
          <w:numId w:val="3"/>
        </w:numPr>
        <w:jc w:val="both"/>
        <w:rPr>
          <w:rFonts w:cstheme="minorHAnsi"/>
        </w:rPr>
      </w:pPr>
      <w:r w:rsidRPr="00D9241F">
        <w:rPr>
          <w:rFonts w:cstheme="minorHAnsi"/>
        </w:rPr>
        <w:t>L’</w:t>
      </w:r>
      <w:r w:rsidR="00AF2724" w:rsidRPr="00D9241F">
        <w:rPr>
          <w:rFonts w:cstheme="minorHAnsi"/>
        </w:rPr>
        <w:t xml:space="preserve">innovazione didattica </w:t>
      </w:r>
      <w:r w:rsidR="00EE6AFB" w:rsidRPr="00D9241F">
        <w:rPr>
          <w:rFonts w:cstheme="minorHAnsi"/>
        </w:rPr>
        <w:t>diretta</w:t>
      </w:r>
      <w:r w:rsidR="00921F33" w:rsidRPr="00D9241F">
        <w:rPr>
          <w:rFonts w:cstheme="minorHAnsi"/>
        </w:rPr>
        <w:t xml:space="preserve"> all’utilizzo consapevole e metodico </w:t>
      </w:r>
      <w:r w:rsidR="003375F3" w:rsidRPr="00D9241F">
        <w:rPr>
          <w:rFonts w:cstheme="minorHAnsi"/>
        </w:rPr>
        <w:t xml:space="preserve">di strategie collaborative, laboratoriali, riflessive, metacognitive </w:t>
      </w:r>
      <w:r w:rsidR="00461418" w:rsidRPr="00D9241F">
        <w:rPr>
          <w:rFonts w:cstheme="minorHAnsi"/>
        </w:rPr>
        <w:t>e di</w:t>
      </w:r>
      <w:r w:rsidR="003375F3" w:rsidRPr="00D9241F">
        <w:rPr>
          <w:rFonts w:cstheme="minorHAnsi"/>
        </w:rPr>
        <w:t xml:space="preserve"> </w:t>
      </w:r>
      <w:r w:rsidR="00A93E25" w:rsidRPr="008B0F2F">
        <w:rPr>
          <w:rFonts w:cstheme="minorHAnsi"/>
          <w:i/>
          <w:iCs/>
        </w:rPr>
        <w:t xml:space="preserve">tutte </w:t>
      </w:r>
      <w:r w:rsidR="00A93E25" w:rsidRPr="00D9241F">
        <w:rPr>
          <w:rFonts w:cstheme="minorHAnsi"/>
        </w:rPr>
        <w:t>le funzioni della valutazione (diagnostica, formativa, sommativa, esterna)</w:t>
      </w:r>
      <w:r w:rsidR="000B45BB" w:rsidRPr="00D9241F">
        <w:rPr>
          <w:rFonts w:cstheme="minorHAnsi"/>
        </w:rPr>
        <w:t xml:space="preserve"> costituisce un </w:t>
      </w:r>
      <w:r w:rsidR="00EE6AFB" w:rsidRPr="00D9241F">
        <w:rPr>
          <w:rFonts w:cstheme="minorHAnsi"/>
        </w:rPr>
        <w:t xml:space="preserve">valido </w:t>
      </w:r>
      <w:r w:rsidR="003905AB" w:rsidRPr="00D9241F">
        <w:rPr>
          <w:rFonts w:cstheme="minorHAnsi"/>
        </w:rPr>
        <w:t>supporto</w:t>
      </w:r>
      <w:r w:rsidR="009D08BF" w:rsidRPr="00D9241F">
        <w:rPr>
          <w:rFonts w:cstheme="minorHAnsi"/>
        </w:rPr>
        <w:t xml:space="preserve"> </w:t>
      </w:r>
      <w:r w:rsidR="004C471C" w:rsidRPr="00D9241F">
        <w:rPr>
          <w:rFonts w:cstheme="minorHAnsi"/>
        </w:rPr>
        <w:t>all’apprendimento</w:t>
      </w:r>
      <w:r w:rsidR="003905AB" w:rsidRPr="00D9241F">
        <w:rPr>
          <w:rFonts w:cstheme="minorHAnsi"/>
        </w:rPr>
        <w:t>, alla valorizzazione delle differenze</w:t>
      </w:r>
      <w:r w:rsidR="009D08BF" w:rsidRPr="00D9241F">
        <w:rPr>
          <w:rFonts w:cstheme="minorHAnsi"/>
        </w:rPr>
        <w:t xml:space="preserve">, al </w:t>
      </w:r>
      <w:r w:rsidR="00423490" w:rsidRPr="00D9241F">
        <w:rPr>
          <w:rFonts w:cstheme="minorHAnsi"/>
        </w:rPr>
        <w:t>raggiungimento degli obiettivi e dei traguardi formativi</w:t>
      </w:r>
      <w:r w:rsidR="009D08BF" w:rsidRPr="00D9241F">
        <w:rPr>
          <w:rFonts w:cstheme="minorHAnsi"/>
        </w:rPr>
        <w:t xml:space="preserve"> di tutte e tutti</w:t>
      </w:r>
      <w:r w:rsidR="003A5015" w:rsidRPr="00D9241F">
        <w:rPr>
          <w:rFonts w:cstheme="minorHAnsi"/>
        </w:rPr>
        <w:t xml:space="preserve"> e, contestualmente, all’orientamento</w:t>
      </w:r>
      <w:r w:rsidR="0027530C" w:rsidRPr="00D9241F">
        <w:rPr>
          <w:rFonts w:cstheme="minorHAnsi"/>
        </w:rPr>
        <w:t xml:space="preserve"> e all</w:t>
      </w:r>
      <w:r w:rsidR="00167474" w:rsidRPr="00D9241F">
        <w:rPr>
          <w:rFonts w:cstheme="minorHAnsi"/>
        </w:rPr>
        <w:t>o sviluppo di</w:t>
      </w:r>
      <w:r w:rsidR="0027530C" w:rsidRPr="00D9241F">
        <w:rPr>
          <w:rFonts w:cstheme="minorHAnsi"/>
        </w:rPr>
        <w:t xml:space="preserve"> corresponsabilità </w:t>
      </w:r>
      <w:r w:rsidR="00167474" w:rsidRPr="00D9241F">
        <w:rPr>
          <w:rFonts w:cstheme="minorHAnsi"/>
        </w:rPr>
        <w:t>n</w:t>
      </w:r>
      <w:r w:rsidR="0027530C" w:rsidRPr="00D9241F">
        <w:rPr>
          <w:rFonts w:cstheme="minorHAnsi"/>
        </w:rPr>
        <w:t xml:space="preserve">elle </w:t>
      </w:r>
      <w:r w:rsidR="00167474" w:rsidRPr="00D9241F">
        <w:rPr>
          <w:rFonts w:cstheme="minorHAnsi"/>
        </w:rPr>
        <w:t>alunne e negli alunni rispetto ai propri processi di apprendimento</w:t>
      </w:r>
      <w:r w:rsidR="00654A48" w:rsidRPr="00D9241F">
        <w:rPr>
          <w:rFonts w:cstheme="minorHAnsi"/>
        </w:rPr>
        <w:t xml:space="preserve">. </w:t>
      </w:r>
      <w:r w:rsidR="007C0433" w:rsidRPr="00D9241F">
        <w:rPr>
          <w:rFonts w:cstheme="minorHAnsi"/>
        </w:rPr>
        <w:t xml:space="preserve">La ricerca didattica offre </w:t>
      </w:r>
      <w:r w:rsidR="006F1B0A" w:rsidRPr="00D9241F">
        <w:rPr>
          <w:rFonts w:cstheme="minorHAnsi"/>
        </w:rPr>
        <w:t xml:space="preserve">una pluralità di </w:t>
      </w:r>
      <w:r w:rsidR="00A558F0" w:rsidRPr="00D9241F">
        <w:rPr>
          <w:rFonts w:cstheme="minorHAnsi"/>
        </w:rPr>
        <w:t xml:space="preserve">risultati </w:t>
      </w:r>
      <w:r w:rsidR="00D45A73" w:rsidRPr="00D9241F">
        <w:rPr>
          <w:rFonts w:cstheme="minorHAnsi"/>
        </w:rPr>
        <w:t>concettualment</w:t>
      </w:r>
      <w:r w:rsidR="00A558F0" w:rsidRPr="00D9241F">
        <w:rPr>
          <w:rFonts w:cstheme="minorHAnsi"/>
        </w:rPr>
        <w:t>e</w:t>
      </w:r>
      <w:r w:rsidR="00D45A73" w:rsidRPr="00D9241F">
        <w:rPr>
          <w:rFonts w:cstheme="minorHAnsi"/>
        </w:rPr>
        <w:t xml:space="preserve"> fondat</w:t>
      </w:r>
      <w:r w:rsidR="00A558F0" w:rsidRPr="00D9241F">
        <w:rPr>
          <w:rFonts w:cstheme="minorHAnsi"/>
        </w:rPr>
        <w:t>i</w:t>
      </w:r>
      <w:r w:rsidR="00D45A73" w:rsidRPr="00D9241F">
        <w:rPr>
          <w:rFonts w:cstheme="minorHAnsi"/>
        </w:rPr>
        <w:t xml:space="preserve"> ed eticamente orientat</w:t>
      </w:r>
      <w:r w:rsidR="00A558F0" w:rsidRPr="00D9241F">
        <w:rPr>
          <w:rFonts w:cstheme="minorHAnsi"/>
        </w:rPr>
        <w:t>i</w:t>
      </w:r>
      <w:r w:rsidR="008E5FAE" w:rsidRPr="00D9241F">
        <w:rPr>
          <w:rFonts w:cstheme="minorHAnsi"/>
        </w:rPr>
        <w:t xml:space="preserve"> che </w:t>
      </w:r>
      <w:r w:rsidR="00CA3CA1" w:rsidRPr="00D9241F">
        <w:rPr>
          <w:rFonts w:cstheme="minorHAnsi"/>
        </w:rPr>
        <w:t>stimolano</w:t>
      </w:r>
      <w:r w:rsidR="008E5FAE" w:rsidRPr="00D9241F">
        <w:rPr>
          <w:rFonts w:cstheme="minorHAnsi"/>
        </w:rPr>
        <w:t xml:space="preserve"> la </w:t>
      </w:r>
      <w:r w:rsidR="00CA3CA1" w:rsidRPr="00D9241F">
        <w:rPr>
          <w:rFonts w:cstheme="minorHAnsi"/>
        </w:rPr>
        <w:t xml:space="preserve">creatività e la </w:t>
      </w:r>
      <w:r w:rsidR="008E5FAE" w:rsidRPr="00D9241F">
        <w:rPr>
          <w:rFonts w:cstheme="minorHAnsi"/>
        </w:rPr>
        <w:t>professionalità docente</w:t>
      </w:r>
      <w:r w:rsidR="00DB3EF2" w:rsidRPr="00D9241F">
        <w:rPr>
          <w:rFonts w:cstheme="minorHAnsi"/>
        </w:rPr>
        <w:t xml:space="preserve"> </w:t>
      </w:r>
      <w:r w:rsidR="008944AE" w:rsidRPr="00D9241F">
        <w:rPr>
          <w:rFonts w:cstheme="minorHAnsi"/>
        </w:rPr>
        <w:t>per</w:t>
      </w:r>
      <w:r w:rsidR="003C04F3" w:rsidRPr="00D9241F">
        <w:rPr>
          <w:rFonts w:cstheme="minorHAnsi"/>
        </w:rPr>
        <w:t xml:space="preserve"> la qualità </w:t>
      </w:r>
      <w:r w:rsidR="006114F3" w:rsidRPr="00D9241F">
        <w:rPr>
          <w:rFonts w:cstheme="minorHAnsi"/>
        </w:rPr>
        <w:t>dei processi di insegnamento-apprendimento.</w:t>
      </w:r>
    </w:p>
    <w:p w14:paraId="5737BEC8" w14:textId="77777777" w:rsidR="002F01AD" w:rsidRPr="00D9241F" w:rsidRDefault="002F01AD" w:rsidP="002F01AD">
      <w:pPr>
        <w:pStyle w:val="Paragrafoelenco"/>
        <w:jc w:val="both"/>
        <w:rPr>
          <w:rFonts w:cstheme="minorHAnsi"/>
        </w:rPr>
      </w:pPr>
    </w:p>
    <w:p w14:paraId="0CAB8979" w14:textId="109EE756" w:rsidR="00337BB0" w:rsidRDefault="00337BB0" w:rsidP="00D9241F">
      <w:pPr>
        <w:pStyle w:val="Paragrafoelenco"/>
        <w:numPr>
          <w:ilvl w:val="0"/>
          <w:numId w:val="3"/>
        </w:numPr>
        <w:jc w:val="both"/>
        <w:rPr>
          <w:rFonts w:cstheme="minorHAnsi"/>
        </w:rPr>
      </w:pPr>
      <w:r w:rsidRPr="00D9241F">
        <w:rPr>
          <w:rFonts w:cstheme="minorHAnsi"/>
        </w:rPr>
        <w:t>Il benessere professionale de</w:t>
      </w:r>
      <w:r w:rsidR="00003DAC" w:rsidRPr="00D9241F">
        <w:rPr>
          <w:rFonts w:cstheme="minorHAnsi"/>
        </w:rPr>
        <w:t xml:space="preserve">lle/degli insegnanti </w:t>
      </w:r>
      <w:r w:rsidR="00EC39AB" w:rsidRPr="00D9241F">
        <w:rPr>
          <w:rFonts w:cstheme="minorHAnsi"/>
        </w:rPr>
        <w:t>e la collegialità sono</w:t>
      </w:r>
      <w:r w:rsidR="00003DAC" w:rsidRPr="00D9241F">
        <w:rPr>
          <w:rFonts w:cstheme="minorHAnsi"/>
        </w:rPr>
        <w:t xml:space="preserve"> fattor</w:t>
      </w:r>
      <w:r w:rsidR="00EC39AB" w:rsidRPr="00D9241F">
        <w:rPr>
          <w:rFonts w:cstheme="minorHAnsi"/>
        </w:rPr>
        <w:t>i</w:t>
      </w:r>
      <w:r w:rsidR="00003DAC" w:rsidRPr="00D9241F">
        <w:rPr>
          <w:rFonts w:cstheme="minorHAnsi"/>
        </w:rPr>
        <w:t xml:space="preserve"> </w:t>
      </w:r>
      <w:r w:rsidR="00193305" w:rsidRPr="00D9241F">
        <w:rPr>
          <w:rFonts w:cstheme="minorHAnsi"/>
        </w:rPr>
        <w:t>rilevant</w:t>
      </w:r>
      <w:r w:rsidR="00EC39AB" w:rsidRPr="00D9241F">
        <w:rPr>
          <w:rFonts w:cstheme="minorHAnsi"/>
        </w:rPr>
        <w:t>i</w:t>
      </w:r>
      <w:r w:rsidR="00193305" w:rsidRPr="00D9241F">
        <w:rPr>
          <w:rFonts w:cstheme="minorHAnsi"/>
        </w:rPr>
        <w:t xml:space="preserve"> nella promozione del successo formativo delle alunne e degli alunni.</w:t>
      </w:r>
    </w:p>
    <w:p w14:paraId="749931F0" w14:textId="77777777" w:rsidR="002F01AD" w:rsidRPr="002F01AD" w:rsidRDefault="002F01AD" w:rsidP="002F01AD">
      <w:pPr>
        <w:pStyle w:val="Paragrafoelenco"/>
        <w:rPr>
          <w:rFonts w:cstheme="minorHAnsi"/>
        </w:rPr>
      </w:pPr>
    </w:p>
    <w:p w14:paraId="3B1D7834" w14:textId="77777777" w:rsidR="002F01AD" w:rsidRPr="00D9241F" w:rsidRDefault="002F01AD" w:rsidP="002F01AD">
      <w:pPr>
        <w:pStyle w:val="Paragrafoelenco"/>
        <w:jc w:val="both"/>
        <w:rPr>
          <w:rFonts w:cstheme="minorHAnsi"/>
        </w:rPr>
      </w:pPr>
    </w:p>
    <w:p w14:paraId="12DF9750" w14:textId="5E3DA3DD" w:rsidR="004B47E2" w:rsidRDefault="00691A8C" w:rsidP="00D9241F">
      <w:pPr>
        <w:pStyle w:val="Paragrafoelenco"/>
        <w:numPr>
          <w:ilvl w:val="0"/>
          <w:numId w:val="3"/>
        </w:numPr>
        <w:jc w:val="both"/>
        <w:rPr>
          <w:rFonts w:cstheme="minorHAnsi"/>
        </w:rPr>
      </w:pPr>
      <w:r w:rsidRPr="00D9241F">
        <w:rPr>
          <w:rFonts w:cstheme="minorHAnsi"/>
        </w:rPr>
        <w:t>La ricerca educativa offre modelli di intelligibilità de</w:t>
      </w:r>
      <w:r w:rsidR="00074785" w:rsidRPr="00D9241F">
        <w:rPr>
          <w:rFonts w:cstheme="minorHAnsi"/>
        </w:rPr>
        <w:t>lle pratiche</w:t>
      </w:r>
      <w:r w:rsidR="00406877">
        <w:rPr>
          <w:rFonts w:cstheme="minorHAnsi"/>
        </w:rPr>
        <w:t xml:space="preserve"> (Crahay, 2002)</w:t>
      </w:r>
      <w:r w:rsidR="00074785" w:rsidRPr="00D9241F">
        <w:rPr>
          <w:rFonts w:cstheme="minorHAnsi"/>
        </w:rPr>
        <w:t xml:space="preserve"> e sostiene, attraverso </w:t>
      </w:r>
      <w:r w:rsidR="001E4CE0" w:rsidRPr="00D9241F">
        <w:rPr>
          <w:rFonts w:cstheme="minorHAnsi"/>
        </w:rPr>
        <w:t>approcci collaborativi e partecipativi (ricerca-azione, ricerca-intervento)</w:t>
      </w:r>
      <w:r w:rsidR="00D76944" w:rsidRPr="00D9241F">
        <w:rPr>
          <w:rFonts w:cstheme="minorHAnsi"/>
        </w:rPr>
        <w:t>, processi di cambiamento positivo.</w:t>
      </w:r>
    </w:p>
    <w:p w14:paraId="6353BF09" w14:textId="77777777" w:rsidR="002F01AD" w:rsidRPr="00D9241F" w:rsidRDefault="002F01AD" w:rsidP="002F01AD">
      <w:pPr>
        <w:pStyle w:val="Paragrafoelenco"/>
        <w:jc w:val="both"/>
        <w:rPr>
          <w:rFonts w:cstheme="minorHAnsi"/>
        </w:rPr>
      </w:pPr>
    </w:p>
    <w:p w14:paraId="6E588802" w14:textId="7DC44F0A" w:rsidR="00691A8C" w:rsidRDefault="004B47E2" w:rsidP="00D9241F">
      <w:pPr>
        <w:pStyle w:val="Paragrafoelenco"/>
        <w:numPr>
          <w:ilvl w:val="0"/>
          <w:numId w:val="3"/>
        </w:numPr>
        <w:jc w:val="both"/>
        <w:rPr>
          <w:rFonts w:cstheme="minorHAnsi"/>
        </w:rPr>
      </w:pPr>
      <w:r w:rsidRPr="00D9241F">
        <w:rPr>
          <w:rFonts w:cstheme="minorHAnsi"/>
        </w:rPr>
        <w:t xml:space="preserve">La documentazione, </w:t>
      </w:r>
      <w:r w:rsidR="00FE3E3C" w:rsidRPr="00D9241F">
        <w:rPr>
          <w:rFonts w:cstheme="minorHAnsi"/>
        </w:rPr>
        <w:t xml:space="preserve">il monitoraggio e </w:t>
      </w:r>
      <w:r w:rsidRPr="00D9241F">
        <w:rPr>
          <w:rFonts w:cstheme="minorHAnsi"/>
        </w:rPr>
        <w:t xml:space="preserve">la diffusione </w:t>
      </w:r>
      <w:r w:rsidR="00FE3E3C" w:rsidRPr="00D9241F">
        <w:rPr>
          <w:rFonts w:cstheme="minorHAnsi"/>
        </w:rPr>
        <w:t xml:space="preserve">di esperienze e innovazioni </w:t>
      </w:r>
      <w:r w:rsidR="00327E4B" w:rsidRPr="00D9241F">
        <w:rPr>
          <w:rFonts w:cstheme="minorHAnsi"/>
        </w:rPr>
        <w:t xml:space="preserve">accrescono lo sviluppo </w:t>
      </w:r>
      <w:r w:rsidR="00C36660" w:rsidRPr="00D9241F">
        <w:rPr>
          <w:rFonts w:cstheme="minorHAnsi"/>
        </w:rPr>
        <w:t xml:space="preserve">di specifici percorsi di crescita </w:t>
      </w:r>
      <w:r w:rsidR="008021E9" w:rsidRPr="00D9241F">
        <w:rPr>
          <w:rFonts w:cstheme="minorHAnsi"/>
        </w:rPr>
        <w:t>in una particolare comunità educante e</w:t>
      </w:r>
      <w:r w:rsidR="004B6764" w:rsidRPr="00D9241F">
        <w:rPr>
          <w:rFonts w:cstheme="minorHAnsi"/>
        </w:rPr>
        <w:t xml:space="preserve"> </w:t>
      </w:r>
      <w:r w:rsidR="00BD0587" w:rsidRPr="00D9241F">
        <w:rPr>
          <w:rFonts w:cstheme="minorHAnsi"/>
        </w:rPr>
        <w:t>alimentano</w:t>
      </w:r>
      <w:r w:rsidR="004471E4" w:rsidRPr="00D9241F">
        <w:rPr>
          <w:rFonts w:cstheme="minorHAnsi"/>
        </w:rPr>
        <w:t xml:space="preserve"> nuove piste di ricerca educativa.</w:t>
      </w:r>
    </w:p>
    <w:p w14:paraId="35B4626C" w14:textId="77777777" w:rsidR="00406877" w:rsidRPr="00406877" w:rsidRDefault="00406877" w:rsidP="00406877">
      <w:pPr>
        <w:pStyle w:val="Paragrafoelenco"/>
        <w:rPr>
          <w:rFonts w:cstheme="minorHAnsi"/>
        </w:rPr>
      </w:pPr>
    </w:p>
    <w:p w14:paraId="6F193934" w14:textId="77777777" w:rsidR="00406877" w:rsidRPr="00D9241F" w:rsidRDefault="00406877" w:rsidP="00406877">
      <w:pPr>
        <w:pStyle w:val="Paragrafoelenco"/>
        <w:jc w:val="both"/>
        <w:rPr>
          <w:rFonts w:cstheme="minorHAnsi"/>
        </w:rPr>
      </w:pPr>
    </w:p>
    <w:p w14:paraId="7B7F222A" w14:textId="7573A7C6" w:rsidR="006460DF" w:rsidRPr="00D9241F" w:rsidRDefault="006460DF" w:rsidP="00D9241F">
      <w:pPr>
        <w:pStyle w:val="Paragrafoelenco"/>
        <w:numPr>
          <w:ilvl w:val="0"/>
          <w:numId w:val="3"/>
        </w:numPr>
        <w:jc w:val="both"/>
        <w:rPr>
          <w:rFonts w:cstheme="minorHAnsi"/>
        </w:rPr>
      </w:pPr>
      <w:r w:rsidRPr="00D9241F">
        <w:rPr>
          <w:rFonts w:cstheme="minorHAnsi"/>
        </w:rPr>
        <w:t xml:space="preserve">Una scuola </w:t>
      </w:r>
      <w:r w:rsidR="0013615B" w:rsidRPr="00D9241F">
        <w:rPr>
          <w:rFonts w:cstheme="minorHAnsi"/>
        </w:rPr>
        <w:t xml:space="preserve">deliberatamente </w:t>
      </w:r>
      <w:r w:rsidRPr="008B0F2F">
        <w:rPr>
          <w:rFonts w:cstheme="minorHAnsi"/>
          <w:i/>
          <w:iCs/>
        </w:rPr>
        <w:t>capacitante</w:t>
      </w:r>
      <w:r w:rsidRPr="00D9241F">
        <w:rPr>
          <w:rFonts w:cstheme="minorHAnsi"/>
        </w:rPr>
        <w:t xml:space="preserve"> (Sen, </w:t>
      </w:r>
      <w:r w:rsidR="00191141" w:rsidRPr="00D9241F">
        <w:rPr>
          <w:rFonts w:cstheme="minorHAnsi"/>
        </w:rPr>
        <w:t>2001</w:t>
      </w:r>
      <w:r w:rsidRPr="00D9241F">
        <w:rPr>
          <w:rFonts w:cstheme="minorHAnsi"/>
        </w:rPr>
        <w:t xml:space="preserve">; Nussbaum, </w:t>
      </w:r>
      <w:r w:rsidR="0049724D" w:rsidRPr="00D9241F">
        <w:rPr>
          <w:rFonts w:cstheme="minorHAnsi"/>
        </w:rPr>
        <w:t>1997</w:t>
      </w:r>
      <w:r w:rsidRPr="00D9241F">
        <w:rPr>
          <w:rFonts w:cstheme="minorHAnsi"/>
        </w:rPr>
        <w:t xml:space="preserve">) ed </w:t>
      </w:r>
      <w:r w:rsidRPr="008B0F2F">
        <w:rPr>
          <w:rFonts w:cstheme="minorHAnsi"/>
          <w:i/>
          <w:iCs/>
        </w:rPr>
        <w:t>emancipante</w:t>
      </w:r>
      <w:r w:rsidR="0013615B" w:rsidRPr="008B0F2F">
        <w:rPr>
          <w:rFonts w:cstheme="minorHAnsi"/>
          <w:i/>
          <w:iCs/>
        </w:rPr>
        <w:t xml:space="preserve"> </w:t>
      </w:r>
      <w:r w:rsidR="0013615B" w:rsidRPr="00D9241F">
        <w:rPr>
          <w:rFonts w:cstheme="minorHAnsi"/>
        </w:rPr>
        <w:t xml:space="preserve">promuove il successo formativo di tutte e di tutti. </w:t>
      </w:r>
      <w:r w:rsidRPr="00D9241F">
        <w:rPr>
          <w:rFonts w:cstheme="minorHAnsi"/>
        </w:rPr>
        <w:t xml:space="preserve"> </w:t>
      </w:r>
    </w:p>
    <w:p w14:paraId="4129B420" w14:textId="77777777" w:rsidR="00044E94" w:rsidRPr="00D9241F" w:rsidRDefault="00044E94" w:rsidP="00B749B4">
      <w:pPr>
        <w:jc w:val="both"/>
        <w:rPr>
          <w:rFonts w:cstheme="minorHAnsi"/>
          <w:sz w:val="24"/>
          <w:szCs w:val="24"/>
        </w:rPr>
      </w:pPr>
    </w:p>
    <w:p w14:paraId="0181C05F" w14:textId="39924A2F" w:rsidR="009E6D22" w:rsidRDefault="009E6D22" w:rsidP="004B2D35">
      <w:pPr>
        <w:jc w:val="both"/>
        <w:rPr>
          <w:rFonts w:eastAsia="Times New Roman" w:cstheme="minorHAnsi"/>
          <w:lang w:eastAsia="it-IT"/>
        </w:rPr>
      </w:pPr>
    </w:p>
    <w:p w14:paraId="3C34D107" w14:textId="5143DF38" w:rsidR="00FE3101" w:rsidRDefault="00FE3101" w:rsidP="004B2D35">
      <w:pPr>
        <w:jc w:val="both"/>
        <w:rPr>
          <w:rFonts w:eastAsia="Times New Roman" w:cstheme="minorHAnsi"/>
          <w:lang w:eastAsia="it-IT"/>
        </w:rPr>
      </w:pPr>
    </w:p>
    <w:p w14:paraId="33D753D7" w14:textId="77777777" w:rsidR="00FE3101" w:rsidRDefault="00FE3101" w:rsidP="004B2D35">
      <w:pPr>
        <w:jc w:val="both"/>
        <w:rPr>
          <w:rFonts w:eastAsia="Times New Roman" w:cstheme="minorHAnsi"/>
          <w:lang w:eastAsia="it-IT"/>
        </w:rPr>
      </w:pPr>
    </w:p>
    <w:p w14:paraId="7FED217B" w14:textId="77777777" w:rsidR="008C692C" w:rsidRDefault="008C692C" w:rsidP="008C692C">
      <w:pPr>
        <w:pStyle w:val="Titolo1"/>
        <w:spacing w:line="276" w:lineRule="auto"/>
        <w:rPr>
          <w:rFonts w:asciiTheme="minorHAnsi" w:hAnsiTheme="minorHAnsi" w:cstheme="minorHAnsi"/>
          <w:color w:val="auto"/>
        </w:rPr>
      </w:pPr>
      <w:r>
        <w:rPr>
          <w:rFonts w:asciiTheme="minorHAnsi" w:hAnsiTheme="minorHAnsi" w:cstheme="minorHAnsi"/>
          <w:noProof/>
          <w:color w:val="auto"/>
          <w:lang w:eastAsia="it-IT"/>
        </w:rPr>
        <w:drawing>
          <wp:inline distT="0" distB="0" distL="0" distR="0" wp14:anchorId="472A6F1C" wp14:editId="41F55DF6">
            <wp:extent cx="6129557" cy="3514955"/>
            <wp:effectExtent l="0" t="0" r="508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3601" cy="3551680"/>
                    </a:xfrm>
                    <a:prstGeom prst="rect">
                      <a:avLst/>
                    </a:prstGeom>
                    <a:noFill/>
                  </pic:spPr>
                </pic:pic>
              </a:graphicData>
            </a:graphic>
          </wp:inline>
        </w:drawing>
      </w:r>
    </w:p>
    <w:p w14:paraId="63B27DBD" w14:textId="77777777" w:rsidR="009633C4" w:rsidRDefault="009633C4" w:rsidP="00774AA6">
      <w:pPr>
        <w:rPr>
          <w:rFonts w:eastAsia="Times New Roman" w:cstheme="minorHAnsi"/>
          <w:lang w:eastAsia="it-IT"/>
        </w:rPr>
      </w:pPr>
    </w:p>
    <w:p w14:paraId="7094AD25" w14:textId="3F6F914A" w:rsidR="007E131D" w:rsidRDefault="007E131D" w:rsidP="00A75BD6">
      <w:pPr>
        <w:spacing w:line="276" w:lineRule="auto"/>
        <w:jc w:val="both"/>
        <w:textAlignment w:val="baseline"/>
        <w:rPr>
          <w:rFonts w:eastAsia="Times New Roman" w:cstheme="minorHAnsi"/>
          <w:lang w:eastAsia="it-IT"/>
        </w:rPr>
      </w:pPr>
      <w:r>
        <w:rPr>
          <w:rFonts w:eastAsia="Times New Roman" w:cstheme="minorHAnsi"/>
          <w:lang w:eastAsia="it-IT"/>
        </w:rPr>
        <w:t xml:space="preserve"> </w:t>
      </w:r>
    </w:p>
    <w:p w14:paraId="07F5CF3F" w14:textId="77777777" w:rsidR="00E64384" w:rsidRPr="001112A2" w:rsidRDefault="00E64384" w:rsidP="00E64384"/>
    <w:p w14:paraId="246C76F9" w14:textId="77777777" w:rsidR="00DC5822" w:rsidRDefault="00DC5822">
      <w:pPr>
        <w:rPr>
          <w:rFonts w:eastAsia="Times New Roman" w:cstheme="minorHAnsi"/>
          <w:lang w:eastAsia="it-IT"/>
        </w:rPr>
      </w:pPr>
    </w:p>
    <w:p w14:paraId="0A9667C2" w14:textId="77777777" w:rsidR="00C02BAB" w:rsidRDefault="00C02BAB"/>
    <w:sectPr w:rsidR="00C02BA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D3F05" w14:textId="77777777" w:rsidR="00AE3176" w:rsidRDefault="00AE3176" w:rsidP="00FE3101">
      <w:pPr>
        <w:spacing w:after="0" w:line="240" w:lineRule="auto"/>
      </w:pPr>
      <w:r>
        <w:separator/>
      </w:r>
    </w:p>
  </w:endnote>
  <w:endnote w:type="continuationSeparator" w:id="0">
    <w:p w14:paraId="6A412EE9" w14:textId="77777777" w:rsidR="00AE3176" w:rsidRDefault="00AE3176" w:rsidP="00FE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787272"/>
      <w:docPartObj>
        <w:docPartGallery w:val="Page Numbers (Bottom of Page)"/>
        <w:docPartUnique/>
      </w:docPartObj>
    </w:sdtPr>
    <w:sdtEndPr/>
    <w:sdtContent>
      <w:p w14:paraId="701EA9FD" w14:textId="03760A97" w:rsidR="00FE3101" w:rsidRDefault="00FE3101">
        <w:pPr>
          <w:pStyle w:val="Pidipagina"/>
          <w:jc w:val="center"/>
        </w:pPr>
        <w:r>
          <w:fldChar w:fldCharType="begin"/>
        </w:r>
        <w:r>
          <w:instrText>PAGE   \* MERGEFORMAT</w:instrText>
        </w:r>
        <w:r>
          <w:fldChar w:fldCharType="separate"/>
        </w:r>
        <w:r w:rsidR="00F17529">
          <w:rPr>
            <w:noProof/>
          </w:rPr>
          <w:t>2</w:t>
        </w:r>
        <w:r>
          <w:fldChar w:fldCharType="end"/>
        </w:r>
      </w:p>
    </w:sdtContent>
  </w:sdt>
  <w:p w14:paraId="498EE274" w14:textId="77777777" w:rsidR="00FE3101" w:rsidRDefault="00FE31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55279" w14:textId="77777777" w:rsidR="00AE3176" w:rsidRDefault="00AE3176" w:rsidP="00FE3101">
      <w:pPr>
        <w:spacing w:after="0" w:line="240" w:lineRule="auto"/>
      </w:pPr>
      <w:r>
        <w:separator/>
      </w:r>
    </w:p>
  </w:footnote>
  <w:footnote w:type="continuationSeparator" w:id="0">
    <w:p w14:paraId="2A78AF4B" w14:textId="77777777" w:rsidR="00AE3176" w:rsidRDefault="00AE3176" w:rsidP="00FE3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40DD7"/>
    <w:multiLevelType w:val="hybridMultilevel"/>
    <w:tmpl w:val="27265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403A99"/>
    <w:multiLevelType w:val="hybridMultilevel"/>
    <w:tmpl w:val="9B766C2E"/>
    <w:lvl w:ilvl="0" w:tplc="BEA671FE">
      <w:start w:val="1"/>
      <w:numFmt w:val="bullet"/>
      <w:lvlText w:val="•"/>
      <w:lvlJc w:val="left"/>
      <w:pPr>
        <w:tabs>
          <w:tab w:val="num" w:pos="720"/>
        </w:tabs>
        <w:ind w:left="720" w:hanging="360"/>
      </w:pPr>
      <w:rPr>
        <w:rFonts w:ascii="Arial" w:hAnsi="Arial" w:hint="default"/>
      </w:rPr>
    </w:lvl>
    <w:lvl w:ilvl="1" w:tplc="9ED834FC" w:tentative="1">
      <w:start w:val="1"/>
      <w:numFmt w:val="bullet"/>
      <w:lvlText w:val="•"/>
      <w:lvlJc w:val="left"/>
      <w:pPr>
        <w:tabs>
          <w:tab w:val="num" w:pos="1440"/>
        </w:tabs>
        <w:ind w:left="1440" w:hanging="360"/>
      </w:pPr>
      <w:rPr>
        <w:rFonts w:ascii="Arial" w:hAnsi="Arial" w:hint="default"/>
      </w:rPr>
    </w:lvl>
    <w:lvl w:ilvl="2" w:tplc="FEF0E434" w:tentative="1">
      <w:start w:val="1"/>
      <w:numFmt w:val="bullet"/>
      <w:lvlText w:val="•"/>
      <w:lvlJc w:val="left"/>
      <w:pPr>
        <w:tabs>
          <w:tab w:val="num" w:pos="2160"/>
        </w:tabs>
        <w:ind w:left="2160" w:hanging="360"/>
      </w:pPr>
      <w:rPr>
        <w:rFonts w:ascii="Arial" w:hAnsi="Arial" w:hint="default"/>
      </w:rPr>
    </w:lvl>
    <w:lvl w:ilvl="3" w:tplc="50400FA0" w:tentative="1">
      <w:start w:val="1"/>
      <w:numFmt w:val="bullet"/>
      <w:lvlText w:val="•"/>
      <w:lvlJc w:val="left"/>
      <w:pPr>
        <w:tabs>
          <w:tab w:val="num" w:pos="2880"/>
        </w:tabs>
        <w:ind w:left="2880" w:hanging="360"/>
      </w:pPr>
      <w:rPr>
        <w:rFonts w:ascii="Arial" w:hAnsi="Arial" w:hint="default"/>
      </w:rPr>
    </w:lvl>
    <w:lvl w:ilvl="4" w:tplc="EC6A2FA2" w:tentative="1">
      <w:start w:val="1"/>
      <w:numFmt w:val="bullet"/>
      <w:lvlText w:val="•"/>
      <w:lvlJc w:val="left"/>
      <w:pPr>
        <w:tabs>
          <w:tab w:val="num" w:pos="3600"/>
        </w:tabs>
        <w:ind w:left="3600" w:hanging="360"/>
      </w:pPr>
      <w:rPr>
        <w:rFonts w:ascii="Arial" w:hAnsi="Arial" w:hint="default"/>
      </w:rPr>
    </w:lvl>
    <w:lvl w:ilvl="5" w:tplc="E1BC686E" w:tentative="1">
      <w:start w:val="1"/>
      <w:numFmt w:val="bullet"/>
      <w:lvlText w:val="•"/>
      <w:lvlJc w:val="left"/>
      <w:pPr>
        <w:tabs>
          <w:tab w:val="num" w:pos="4320"/>
        </w:tabs>
        <w:ind w:left="4320" w:hanging="360"/>
      </w:pPr>
      <w:rPr>
        <w:rFonts w:ascii="Arial" w:hAnsi="Arial" w:hint="default"/>
      </w:rPr>
    </w:lvl>
    <w:lvl w:ilvl="6" w:tplc="A07E860E" w:tentative="1">
      <w:start w:val="1"/>
      <w:numFmt w:val="bullet"/>
      <w:lvlText w:val="•"/>
      <w:lvlJc w:val="left"/>
      <w:pPr>
        <w:tabs>
          <w:tab w:val="num" w:pos="5040"/>
        </w:tabs>
        <w:ind w:left="5040" w:hanging="360"/>
      </w:pPr>
      <w:rPr>
        <w:rFonts w:ascii="Arial" w:hAnsi="Arial" w:hint="default"/>
      </w:rPr>
    </w:lvl>
    <w:lvl w:ilvl="7" w:tplc="319818DC" w:tentative="1">
      <w:start w:val="1"/>
      <w:numFmt w:val="bullet"/>
      <w:lvlText w:val="•"/>
      <w:lvlJc w:val="left"/>
      <w:pPr>
        <w:tabs>
          <w:tab w:val="num" w:pos="5760"/>
        </w:tabs>
        <w:ind w:left="5760" w:hanging="360"/>
      </w:pPr>
      <w:rPr>
        <w:rFonts w:ascii="Arial" w:hAnsi="Arial" w:hint="default"/>
      </w:rPr>
    </w:lvl>
    <w:lvl w:ilvl="8" w:tplc="158CF762" w:tentative="1">
      <w:start w:val="1"/>
      <w:numFmt w:val="bullet"/>
      <w:lvlText w:val="•"/>
      <w:lvlJc w:val="left"/>
      <w:pPr>
        <w:tabs>
          <w:tab w:val="num" w:pos="6480"/>
        </w:tabs>
        <w:ind w:left="6480" w:hanging="360"/>
      </w:pPr>
      <w:rPr>
        <w:rFonts w:ascii="Arial" w:hAnsi="Arial" w:hint="default"/>
      </w:rPr>
    </w:lvl>
  </w:abstractNum>
  <w:abstractNum w:abstractNumId="2">
    <w:nsid w:val="561A66BD"/>
    <w:multiLevelType w:val="hybridMultilevel"/>
    <w:tmpl w:val="D262A6A8"/>
    <w:lvl w:ilvl="0" w:tplc="BEA671F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74804CC"/>
    <w:multiLevelType w:val="hybridMultilevel"/>
    <w:tmpl w:val="651446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846EFE"/>
    <w:multiLevelType w:val="hybridMultilevel"/>
    <w:tmpl w:val="CCFC72B6"/>
    <w:lvl w:ilvl="0" w:tplc="8B78F92A">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FFB277A"/>
    <w:multiLevelType w:val="hybridMultilevel"/>
    <w:tmpl w:val="90C410DE"/>
    <w:lvl w:ilvl="0" w:tplc="2A1AA430">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1F"/>
    <w:rsid w:val="000039FC"/>
    <w:rsid w:val="00003DAC"/>
    <w:rsid w:val="00005FE4"/>
    <w:rsid w:val="00013902"/>
    <w:rsid w:val="00032F0F"/>
    <w:rsid w:val="00044E94"/>
    <w:rsid w:val="0005101F"/>
    <w:rsid w:val="00052152"/>
    <w:rsid w:val="00074785"/>
    <w:rsid w:val="00090A1F"/>
    <w:rsid w:val="000B45BB"/>
    <w:rsid w:val="000C6223"/>
    <w:rsid w:val="000E72B8"/>
    <w:rsid w:val="000F06F4"/>
    <w:rsid w:val="00101B44"/>
    <w:rsid w:val="00105385"/>
    <w:rsid w:val="00110BF7"/>
    <w:rsid w:val="00113AFF"/>
    <w:rsid w:val="00116CA1"/>
    <w:rsid w:val="00123192"/>
    <w:rsid w:val="0013615B"/>
    <w:rsid w:val="00136A3D"/>
    <w:rsid w:val="00167474"/>
    <w:rsid w:val="00172D96"/>
    <w:rsid w:val="00191141"/>
    <w:rsid w:val="00193305"/>
    <w:rsid w:val="001B2D0E"/>
    <w:rsid w:val="001B2FB3"/>
    <w:rsid w:val="001C53F0"/>
    <w:rsid w:val="001E1975"/>
    <w:rsid w:val="001E4CE0"/>
    <w:rsid w:val="001F0992"/>
    <w:rsid w:val="00201C42"/>
    <w:rsid w:val="0020352E"/>
    <w:rsid w:val="00241D93"/>
    <w:rsid w:val="00254628"/>
    <w:rsid w:val="00255281"/>
    <w:rsid w:val="00255D02"/>
    <w:rsid w:val="0027530C"/>
    <w:rsid w:val="00284F8F"/>
    <w:rsid w:val="002860DE"/>
    <w:rsid w:val="00286B30"/>
    <w:rsid w:val="00293CCE"/>
    <w:rsid w:val="002A0549"/>
    <w:rsid w:val="002A356B"/>
    <w:rsid w:val="002A7839"/>
    <w:rsid w:val="002B6225"/>
    <w:rsid w:val="002C4468"/>
    <w:rsid w:val="002F01AD"/>
    <w:rsid w:val="002F13F3"/>
    <w:rsid w:val="003101EF"/>
    <w:rsid w:val="00313AD8"/>
    <w:rsid w:val="00327994"/>
    <w:rsid w:val="00327E4B"/>
    <w:rsid w:val="00331793"/>
    <w:rsid w:val="0033545E"/>
    <w:rsid w:val="00336106"/>
    <w:rsid w:val="003375F3"/>
    <w:rsid w:val="00337BB0"/>
    <w:rsid w:val="003402ED"/>
    <w:rsid w:val="00345C81"/>
    <w:rsid w:val="00386F69"/>
    <w:rsid w:val="003905AB"/>
    <w:rsid w:val="00396CB2"/>
    <w:rsid w:val="003A221C"/>
    <w:rsid w:val="003A3B9E"/>
    <w:rsid w:val="003A5015"/>
    <w:rsid w:val="003A7059"/>
    <w:rsid w:val="003B652B"/>
    <w:rsid w:val="003B777F"/>
    <w:rsid w:val="003C04F3"/>
    <w:rsid w:val="003C2345"/>
    <w:rsid w:val="003C3B9A"/>
    <w:rsid w:val="003D4A91"/>
    <w:rsid w:val="003F5424"/>
    <w:rsid w:val="00402905"/>
    <w:rsid w:val="00405162"/>
    <w:rsid w:val="00405E5B"/>
    <w:rsid w:val="00406877"/>
    <w:rsid w:val="00410441"/>
    <w:rsid w:val="004124A3"/>
    <w:rsid w:val="0041601F"/>
    <w:rsid w:val="004219FF"/>
    <w:rsid w:val="00423490"/>
    <w:rsid w:val="004256AC"/>
    <w:rsid w:val="0043265D"/>
    <w:rsid w:val="00434246"/>
    <w:rsid w:val="00436256"/>
    <w:rsid w:val="004471E4"/>
    <w:rsid w:val="004552B1"/>
    <w:rsid w:val="00461418"/>
    <w:rsid w:val="00485CBE"/>
    <w:rsid w:val="004860EC"/>
    <w:rsid w:val="00496E69"/>
    <w:rsid w:val="0049724D"/>
    <w:rsid w:val="004A5F98"/>
    <w:rsid w:val="004B1794"/>
    <w:rsid w:val="004B2D35"/>
    <w:rsid w:val="004B47E2"/>
    <w:rsid w:val="004B6764"/>
    <w:rsid w:val="004C1082"/>
    <w:rsid w:val="004C471C"/>
    <w:rsid w:val="004D15CC"/>
    <w:rsid w:val="004F4FFF"/>
    <w:rsid w:val="005168C8"/>
    <w:rsid w:val="00526A21"/>
    <w:rsid w:val="00531983"/>
    <w:rsid w:val="00542AB5"/>
    <w:rsid w:val="005555AD"/>
    <w:rsid w:val="00555FE7"/>
    <w:rsid w:val="00560B7D"/>
    <w:rsid w:val="005700FB"/>
    <w:rsid w:val="005811BE"/>
    <w:rsid w:val="005C0A1C"/>
    <w:rsid w:val="005C399A"/>
    <w:rsid w:val="005E4403"/>
    <w:rsid w:val="005E7161"/>
    <w:rsid w:val="005F072E"/>
    <w:rsid w:val="00600916"/>
    <w:rsid w:val="006114F3"/>
    <w:rsid w:val="006127A0"/>
    <w:rsid w:val="006127C5"/>
    <w:rsid w:val="00634FA0"/>
    <w:rsid w:val="006460DF"/>
    <w:rsid w:val="00654A48"/>
    <w:rsid w:val="00656DA6"/>
    <w:rsid w:val="00667003"/>
    <w:rsid w:val="00683A64"/>
    <w:rsid w:val="00691A8C"/>
    <w:rsid w:val="006B0218"/>
    <w:rsid w:val="006B1FC3"/>
    <w:rsid w:val="006B6C1F"/>
    <w:rsid w:val="006D5016"/>
    <w:rsid w:val="006D6976"/>
    <w:rsid w:val="006E6ECA"/>
    <w:rsid w:val="006F1B0A"/>
    <w:rsid w:val="006F407A"/>
    <w:rsid w:val="0073042D"/>
    <w:rsid w:val="00730A21"/>
    <w:rsid w:val="007478CC"/>
    <w:rsid w:val="007607EA"/>
    <w:rsid w:val="00774AA6"/>
    <w:rsid w:val="00777164"/>
    <w:rsid w:val="007915E3"/>
    <w:rsid w:val="007A05CB"/>
    <w:rsid w:val="007A2140"/>
    <w:rsid w:val="007B570B"/>
    <w:rsid w:val="007C0433"/>
    <w:rsid w:val="007C7591"/>
    <w:rsid w:val="007D03F7"/>
    <w:rsid w:val="007D1761"/>
    <w:rsid w:val="007D2989"/>
    <w:rsid w:val="007D5267"/>
    <w:rsid w:val="007E131D"/>
    <w:rsid w:val="007E68B9"/>
    <w:rsid w:val="007F3D3C"/>
    <w:rsid w:val="0080179B"/>
    <w:rsid w:val="008021E9"/>
    <w:rsid w:val="0081534D"/>
    <w:rsid w:val="008205DC"/>
    <w:rsid w:val="00831692"/>
    <w:rsid w:val="00837700"/>
    <w:rsid w:val="00843CC0"/>
    <w:rsid w:val="00852CDF"/>
    <w:rsid w:val="008813AF"/>
    <w:rsid w:val="00885427"/>
    <w:rsid w:val="008944AE"/>
    <w:rsid w:val="008B0F2F"/>
    <w:rsid w:val="008C692C"/>
    <w:rsid w:val="008D50E2"/>
    <w:rsid w:val="008E15EF"/>
    <w:rsid w:val="008E2217"/>
    <w:rsid w:val="008E2D2E"/>
    <w:rsid w:val="008E5FAE"/>
    <w:rsid w:val="008E62C4"/>
    <w:rsid w:val="00900395"/>
    <w:rsid w:val="00921386"/>
    <w:rsid w:val="00921F33"/>
    <w:rsid w:val="00925AF5"/>
    <w:rsid w:val="00930B60"/>
    <w:rsid w:val="00934685"/>
    <w:rsid w:val="00943F29"/>
    <w:rsid w:val="00945B00"/>
    <w:rsid w:val="009633C4"/>
    <w:rsid w:val="009C6E9D"/>
    <w:rsid w:val="009D08BF"/>
    <w:rsid w:val="009D44D9"/>
    <w:rsid w:val="009E6D22"/>
    <w:rsid w:val="009F0A2C"/>
    <w:rsid w:val="009F458B"/>
    <w:rsid w:val="00A008A8"/>
    <w:rsid w:val="00A008E4"/>
    <w:rsid w:val="00A12EC7"/>
    <w:rsid w:val="00A431AF"/>
    <w:rsid w:val="00A47EC2"/>
    <w:rsid w:val="00A5362D"/>
    <w:rsid w:val="00A558F0"/>
    <w:rsid w:val="00A75BD6"/>
    <w:rsid w:val="00A878B1"/>
    <w:rsid w:val="00A93E25"/>
    <w:rsid w:val="00A97C41"/>
    <w:rsid w:val="00AA0905"/>
    <w:rsid w:val="00AA113D"/>
    <w:rsid w:val="00AA5C69"/>
    <w:rsid w:val="00AE3176"/>
    <w:rsid w:val="00AF2724"/>
    <w:rsid w:val="00AF4742"/>
    <w:rsid w:val="00B03659"/>
    <w:rsid w:val="00B10377"/>
    <w:rsid w:val="00B23E0D"/>
    <w:rsid w:val="00B33EB9"/>
    <w:rsid w:val="00B7162E"/>
    <w:rsid w:val="00B749B4"/>
    <w:rsid w:val="00B80ABB"/>
    <w:rsid w:val="00B95D93"/>
    <w:rsid w:val="00BA302F"/>
    <w:rsid w:val="00BB3A2C"/>
    <w:rsid w:val="00BC168D"/>
    <w:rsid w:val="00BC2087"/>
    <w:rsid w:val="00BC5533"/>
    <w:rsid w:val="00BD0587"/>
    <w:rsid w:val="00BD17FF"/>
    <w:rsid w:val="00BD53AE"/>
    <w:rsid w:val="00BE7CE2"/>
    <w:rsid w:val="00BF201B"/>
    <w:rsid w:val="00C02BAB"/>
    <w:rsid w:val="00C06782"/>
    <w:rsid w:val="00C12982"/>
    <w:rsid w:val="00C12F6E"/>
    <w:rsid w:val="00C3530C"/>
    <w:rsid w:val="00C36660"/>
    <w:rsid w:val="00C42ED4"/>
    <w:rsid w:val="00C51FE7"/>
    <w:rsid w:val="00C578D7"/>
    <w:rsid w:val="00C60E89"/>
    <w:rsid w:val="00C74E11"/>
    <w:rsid w:val="00C75437"/>
    <w:rsid w:val="00C94A4D"/>
    <w:rsid w:val="00C95CFB"/>
    <w:rsid w:val="00C97446"/>
    <w:rsid w:val="00CA3CA1"/>
    <w:rsid w:val="00CB05CE"/>
    <w:rsid w:val="00CC2335"/>
    <w:rsid w:val="00CC4F6D"/>
    <w:rsid w:val="00CD061B"/>
    <w:rsid w:val="00CD3908"/>
    <w:rsid w:val="00D163AC"/>
    <w:rsid w:val="00D31F13"/>
    <w:rsid w:val="00D44038"/>
    <w:rsid w:val="00D45A73"/>
    <w:rsid w:val="00D4699D"/>
    <w:rsid w:val="00D76944"/>
    <w:rsid w:val="00D86163"/>
    <w:rsid w:val="00D90D53"/>
    <w:rsid w:val="00D9241F"/>
    <w:rsid w:val="00DB3EF2"/>
    <w:rsid w:val="00DB6CBF"/>
    <w:rsid w:val="00DC01F8"/>
    <w:rsid w:val="00DC14E8"/>
    <w:rsid w:val="00DC5822"/>
    <w:rsid w:val="00DF602D"/>
    <w:rsid w:val="00DF6882"/>
    <w:rsid w:val="00E01036"/>
    <w:rsid w:val="00E05290"/>
    <w:rsid w:val="00E3161C"/>
    <w:rsid w:val="00E36EF9"/>
    <w:rsid w:val="00E64384"/>
    <w:rsid w:val="00EA1DD2"/>
    <w:rsid w:val="00EA73EB"/>
    <w:rsid w:val="00EB31BC"/>
    <w:rsid w:val="00EC09F0"/>
    <w:rsid w:val="00EC39AB"/>
    <w:rsid w:val="00EC444D"/>
    <w:rsid w:val="00ED40CD"/>
    <w:rsid w:val="00EE442F"/>
    <w:rsid w:val="00EE511D"/>
    <w:rsid w:val="00EE6AFB"/>
    <w:rsid w:val="00F16E1B"/>
    <w:rsid w:val="00F17529"/>
    <w:rsid w:val="00F31225"/>
    <w:rsid w:val="00F36698"/>
    <w:rsid w:val="00F55498"/>
    <w:rsid w:val="00F941BC"/>
    <w:rsid w:val="00FB024D"/>
    <w:rsid w:val="00FB0448"/>
    <w:rsid w:val="00FB2AE5"/>
    <w:rsid w:val="00FC2306"/>
    <w:rsid w:val="00FD5235"/>
    <w:rsid w:val="00FD6CAD"/>
    <w:rsid w:val="00FE3101"/>
    <w:rsid w:val="00FE3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D721"/>
  <w15:chartTrackingRefBased/>
  <w15:docId w15:val="{1609AD6A-B8F5-4691-A419-CD230145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C6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4384"/>
    <w:pPr>
      <w:spacing w:after="0" w:line="240" w:lineRule="auto"/>
      <w:ind w:left="720"/>
      <w:contextualSpacing/>
    </w:pPr>
    <w:rPr>
      <w:rFonts w:eastAsiaTheme="minorEastAsia"/>
      <w:sz w:val="24"/>
      <w:szCs w:val="24"/>
      <w:u w:color="000000"/>
    </w:rPr>
  </w:style>
  <w:style w:type="character" w:customStyle="1" w:styleId="Titolo1Carattere">
    <w:name w:val="Titolo 1 Carattere"/>
    <w:basedOn w:val="Carpredefinitoparagrafo"/>
    <w:link w:val="Titolo1"/>
    <w:uiPriority w:val="9"/>
    <w:rsid w:val="008C692C"/>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semiHidden/>
    <w:unhideWhenUsed/>
    <w:rsid w:val="00254628"/>
    <w:rPr>
      <w:color w:val="0000FF"/>
      <w:u w:val="single"/>
    </w:rPr>
  </w:style>
  <w:style w:type="paragraph" w:styleId="Intestazione">
    <w:name w:val="header"/>
    <w:basedOn w:val="Normale"/>
    <w:link w:val="IntestazioneCarattere"/>
    <w:uiPriority w:val="99"/>
    <w:unhideWhenUsed/>
    <w:rsid w:val="00FE31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3101"/>
  </w:style>
  <w:style w:type="paragraph" w:styleId="Pidipagina">
    <w:name w:val="footer"/>
    <w:basedOn w:val="Normale"/>
    <w:link w:val="PidipaginaCarattere"/>
    <w:uiPriority w:val="99"/>
    <w:unhideWhenUsed/>
    <w:rsid w:val="00FE31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0327">
      <w:bodyDiv w:val="1"/>
      <w:marLeft w:val="0"/>
      <w:marRight w:val="0"/>
      <w:marTop w:val="0"/>
      <w:marBottom w:val="0"/>
      <w:divBdr>
        <w:top w:val="none" w:sz="0" w:space="0" w:color="auto"/>
        <w:left w:val="none" w:sz="0" w:space="0" w:color="auto"/>
        <w:bottom w:val="none" w:sz="0" w:space="0" w:color="auto"/>
        <w:right w:val="none" w:sz="0" w:space="0" w:color="auto"/>
      </w:divBdr>
      <w:divsChild>
        <w:div w:id="19286083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everso.net/traduzione-tes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Grange</dc:creator>
  <cp:keywords/>
  <dc:description/>
  <cp:lastModifiedBy>Antonella MAURI</cp:lastModifiedBy>
  <cp:revision>2</cp:revision>
  <dcterms:created xsi:type="dcterms:W3CDTF">2022-10-07T08:04:00Z</dcterms:created>
  <dcterms:modified xsi:type="dcterms:W3CDTF">2022-10-07T08:04:00Z</dcterms:modified>
</cp:coreProperties>
</file>